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4" Type="http://schemas.openxmlformats.org/officeDocument/2006/relationships/extended-properties" Target="docProps/app.xml"/><Relationship Id="rId3" Type="http://schemas.openxmlformats.org/package/2006/relationships/metadata/core-properties" Target="docProps/core.xml"/><Relationship Id="rId5" Type="http://schemas.openxmlformats.org/officeDocument/2006/relationships/custom-properties" Target="docProps/custom.xml"/></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5"/>
      </w:pPr>
      <w:r>
        <w:t xml:space="preserve">量化咨询客户关系管理系统</w:t>
      </w:r>
    </w:p>
    <w:p>
      <w:pPr>
        <w:pStyle w:val="a6"/>
      </w:pPr>
      <w:r>
        <w:t xml:space="preserve">操作手册</w:t>
      </w:r>
    </w:p>
    <w:bookmarkStart w:id="226" w:name="section"/>
    <w:p>
      <w:pPr>
        <w:pStyle w:val="10"/>
      </w:pPr>
    </w:p>
    <w:bookmarkStart w:id="24" w:name="一文档概览"/>
    <w:p>
      <w:pPr>
        <w:pStyle w:val="20"/>
      </w:pPr>
      <w:r>
        <w:t xml:space="preserve">一、文档概览</w:t>
      </w:r>
    </w:p>
    <w:bookmarkStart w:id="20" w:name="文档目的"/>
    <w:p>
      <w:pPr>
        <w:pStyle w:val="3"/>
      </w:pPr>
      <w:r>
        <w:t xml:space="preserve">1.1 文档目的</w:t>
      </w:r>
    </w:p>
    <w:p>
      <w:pPr>
        <w:pStyle w:val="FirstParagraph"/>
      </w:pPr>
      <w:r>
        <w:t xml:space="preserve">本文档旨在为《量化咨询客户关系管理系统 V1.0》提供全面、准确的系统功能、技术架构及操作说明。</w:t>
      </w:r>
      <w:r>
        <w:t xml:space="preserve"> </w:t>
      </w:r>
      <w:r>
        <w:t xml:space="preserve">其目的在于确立系统开发的基准，指导后续开发、测试与部署工作，</w:t>
      </w:r>
      <w:r>
        <w:t xml:space="preserve"> </w:t>
      </w:r>
      <w:r>
        <w:t xml:space="preserve">并为系统使用者、维护人员及项目管理人员提供统一的参考依据。</w:t>
      </w:r>
    </w:p>
    <w:bookmarkEnd w:id="20"/>
    <w:bookmarkStart w:id="21" w:name="文档版本记录"/>
    <w:p>
      <w:pPr>
        <w:pStyle w:val="3"/>
      </w:pPr>
      <w:r>
        <w:t xml:space="preserve">1.2 文档版本记录</w:t>
      </w:r>
    </w:p>
    <w:tbl>
      <w:tblPr>
        <w:tblStyle w:val="Table"/>
        <w:tblW w:type="pct" w:w="5000"/>
        <w:tblLook w:firstRow="1" w:lastRow="0" w:firstColumn="0" w:lastColumn="0" w:noHBand="0" w:noVBand="0" w:val="0020"/>
      </w:tblPr>
      <w:tblGrid>
        <w:gridCol w:w="1980"/>
        <w:gridCol w:w="1980"/>
        <w:gridCol w:w="1980"/>
        <w:gridCol w:w="1980"/>
      </w:tblGrid>
      <w:tr>
        <w:trPr>
          <w:tblHeader w:val="true"/>
        </w:trPr>
        <w:tc>
          <w:tcPr/>
          <w:p>
            <w:pPr>
              <w:pStyle w:val="Compact"/>
              <w:jc w:val="left"/>
            </w:pPr>
            <w:r>
              <w:t xml:space="preserve">版本号</w:t>
            </w:r>
          </w:p>
        </w:tc>
        <w:tc>
          <w:tcPr/>
          <w:p>
            <w:pPr>
              <w:pStyle w:val="Compact"/>
              <w:jc w:val="left"/>
            </w:pPr>
            <w:r>
              <w:t xml:space="preserve">修订日期</w:t>
            </w:r>
          </w:p>
        </w:tc>
        <w:tc>
          <w:tcPr/>
          <w:p>
            <w:pPr>
              <w:pStyle w:val="Compact"/>
              <w:jc w:val="left"/>
            </w:pPr>
            <w:r>
              <w:t xml:space="preserve">修订内容概述</w:t>
            </w:r>
          </w:p>
        </w:tc>
        <w:tc>
          <w:tcPr/>
          <w:p>
            <w:pPr>
              <w:pStyle w:val="Compact"/>
              <w:jc w:val="left"/>
            </w:pPr>
            <w:r>
              <w:t xml:space="preserve">修订人</w:t>
            </w:r>
          </w:p>
        </w:tc>
      </w:tr>
      <w:tr>
        <w:tc>
          <w:tcPr/>
          <w:p>
            <w:pPr>
              <w:pStyle w:val="Compact"/>
              <w:jc w:val="left"/>
            </w:pPr>
            <w:r>
              <w:t xml:space="preserve">V1.0</w:t>
            </w:r>
          </w:p>
        </w:tc>
        <w:tc>
          <w:tcPr/>
          <w:p>
            <w:pPr>
              <w:pStyle w:val="Compact"/>
              <w:jc w:val="left"/>
            </w:pPr>
            <w:r>
              <w:t xml:space="preserve">2025-08-27</w:t>
            </w:r>
          </w:p>
        </w:tc>
        <w:tc>
          <w:tcPr/>
          <w:p>
            <w:pPr>
              <w:pStyle w:val="Compact"/>
              <w:jc w:val="left"/>
            </w:pPr>
            <w:r>
              <w:t xml:space="preserve">初始版本创建，涵盖系统全部功能模块与技术规格。</w:t>
            </w:r>
          </w:p>
        </w:tc>
        <w:tc>
          <w:tcPr/>
          <w:p>
            <w:pPr>
              <w:pStyle w:val="Compact"/>
              <w:jc w:val="left"/>
            </w:pPr>
            <w:r>
              <w:t xml:space="preserve">项目组</w:t>
            </w:r>
          </w:p>
        </w:tc>
      </w:tr>
    </w:tbl>
    <w:bookmarkEnd w:id="21"/>
    <w:bookmarkStart w:id="22" w:name="文档阅读对象"/>
    <w:p>
      <w:pPr>
        <w:pStyle w:val="3"/>
      </w:pPr>
      <w:r>
        <w:t xml:space="preserve">1.3 文档阅读对象</w:t>
      </w:r>
    </w:p>
    <w:p>
      <w:pPr>
        <w:pStyle w:val="FirstParagraph"/>
      </w:pPr>
      <w:r>
        <w:t xml:space="preserve">本文档的主要阅读对象包括：</w:t>
      </w:r>
      <w:r>
        <w:t xml:space="preserve"> </w:t>
      </w:r>
      <w:r>
        <w:t xml:space="preserve">-</w:t>
      </w:r>
      <w:r>
        <w:t xml:space="preserve"> </w:t>
      </w:r>
      <w:r>
        <w:rPr>
          <w:bCs/>
          <w:b/>
        </w:rPr>
        <w:t xml:space="preserve">系统管理员</w:t>
      </w:r>
      <w:r>
        <w:t xml:space="preserve">：负责系统的部署、维护与用户权限管理。</w:t>
      </w:r>
      <w:r>
        <w:t xml:space="preserve"> </w:t>
      </w:r>
      <w:r>
        <w:t xml:space="preserve">-</w:t>
      </w:r>
      <w:r>
        <w:t xml:space="preserve"> </w:t>
      </w:r>
      <w:r>
        <w:rPr>
          <w:bCs/>
          <w:b/>
        </w:rPr>
        <w:t xml:space="preserve">咨询顾问</w:t>
      </w:r>
      <w:r>
        <w:t xml:space="preserve">：系统的核心使用者，需掌握客户管理、量化分析及流程跟踪等功能。</w:t>
      </w:r>
      <w:r>
        <w:t xml:space="preserve"> </w:t>
      </w:r>
      <w:r>
        <w:t xml:space="preserve">-</w:t>
      </w:r>
      <w:r>
        <w:t xml:space="preserve"> </w:t>
      </w:r>
      <w:r>
        <w:rPr>
          <w:bCs/>
          <w:b/>
        </w:rPr>
        <w:t xml:space="preserve">开发与测试人员</w:t>
      </w:r>
      <w:r>
        <w:t xml:space="preserve">：需依据本文档进行后续的二次开发、系统集成与功能验证。</w:t>
      </w:r>
      <w:r>
        <w:t xml:space="preserve"> </w:t>
      </w:r>
      <w:r>
        <w:t xml:space="preserve">-</w:t>
      </w:r>
      <w:r>
        <w:t xml:space="preserve"> </w:t>
      </w:r>
      <w:r>
        <w:rPr>
          <w:bCs/>
          <w:b/>
        </w:rPr>
        <w:t xml:space="preserve">项目管理人员</w:t>
      </w:r>
      <w:r>
        <w:t xml:space="preserve">：通过本文档了解系统范围、功能与技术实现，以进行项目决策。</w:t>
      </w:r>
    </w:p>
    <w:bookmarkEnd w:id="22"/>
    <w:bookmarkStart w:id="23" w:name="术语与缩写说明"/>
    <w:p>
      <w:pPr>
        <w:pStyle w:val="3"/>
      </w:pPr>
      <w:r>
        <w:t xml:space="preserve">1.4 术语与缩写说明</w:t>
      </w:r>
    </w:p>
    <w:p>
      <w:pPr>
        <w:numPr>
          <w:ilvl w:val="0"/>
          <w:numId w:val="1001"/>
        </w:numPr>
        <w:pStyle w:val="Compact"/>
      </w:pPr>
      <w:r>
        <w:rPr>
          <w:bCs/>
          <w:b/>
        </w:rPr>
        <w:t xml:space="preserve">量化咨询CRM</w:t>
      </w:r>
      <w:r>
        <w:t xml:space="preserve">：本系统的简称，即“量化咨询客户关系管理系统”。</w:t>
      </w:r>
    </w:p>
    <w:p>
      <w:pPr>
        <w:numPr>
          <w:ilvl w:val="0"/>
          <w:numId w:val="1001"/>
        </w:numPr>
        <w:pStyle w:val="Compact"/>
      </w:pPr>
      <w:r>
        <w:rPr>
          <w:bCs/>
          <w:b/>
        </w:rPr>
        <w:t xml:space="preserve">客户价值分析</w:t>
      </w:r>
      <w:r>
        <w:t xml:space="preserve">：通过内置数据模型，对客户潜在价值和贡献度进行量化评估的过程。</w:t>
      </w:r>
    </w:p>
    <w:p>
      <w:pPr>
        <w:numPr>
          <w:ilvl w:val="0"/>
          <w:numId w:val="1001"/>
        </w:numPr>
        <w:pStyle w:val="Compact"/>
      </w:pPr>
      <w:r>
        <w:rPr>
          <w:bCs/>
          <w:b/>
        </w:rPr>
        <w:t xml:space="preserve">数据分级</w:t>
      </w:r>
      <w:r>
        <w:t xml:space="preserve">：根据数据敏感程度和业务需求，对客户数据设置不同访问级别的安全机制。</w:t>
      </w:r>
    </w:p>
    <w:p>
      <w:pPr>
        <w:numPr>
          <w:ilvl w:val="0"/>
          <w:numId w:val="1001"/>
        </w:numPr>
        <w:pStyle w:val="Compact"/>
      </w:pPr>
      <w:r>
        <w:rPr>
          <w:bCs/>
          <w:b/>
        </w:rPr>
        <w:t xml:space="preserve">Spring Boot</w:t>
      </w:r>
      <w:r>
        <w:t xml:space="preserve">：本系统后端服务开发所使用的主流Java框架。</w:t>
      </w:r>
    </w:p>
    <w:p>
      <w:pPr>
        <w:numPr>
          <w:ilvl w:val="0"/>
          <w:numId w:val="1001"/>
        </w:numPr>
        <w:pStyle w:val="Compact"/>
      </w:pPr>
      <w:r>
        <w:rPr>
          <w:bCs/>
          <w:b/>
        </w:rPr>
        <w:t xml:space="preserve">React</w:t>
      </w:r>
      <w:r>
        <w:t xml:space="preserve">：本系统前端用户界面开发所使用的主流JavaScript库。</w:t>
      </w:r>
    </w:p>
    <w:bookmarkEnd w:id="23"/>
    <w:bookmarkEnd w:id="24"/>
    <w:bookmarkStart w:id="29" w:name="二系统简介"/>
    <w:p>
      <w:pPr>
        <w:pStyle w:val="20"/>
      </w:pPr>
      <w:r>
        <w:t xml:space="preserve">二、系统简介</w:t>
      </w:r>
    </w:p>
    <w:bookmarkStart w:id="25" w:name="系统背景与目标"/>
    <w:p>
      <w:pPr>
        <w:pStyle w:val="3"/>
      </w:pPr>
      <w:r>
        <w:t xml:space="preserve">2.1 系统背景与目标</w:t>
      </w:r>
    </w:p>
    <w:p>
      <w:pPr>
        <w:pStyle w:val="FirstParagraph"/>
      </w:pPr>
      <w:r>
        <w:t xml:space="preserve">随着咨询行业竞争日趋激烈与客户数据价值日益凸显，</w:t>
      </w:r>
      <w:r>
        <w:t xml:space="preserve"> </w:t>
      </w:r>
      <w:r>
        <w:t xml:space="preserve">传统客户关系管理方式在数据处理深度与流程自动化方面</w:t>
      </w:r>
      <w:r>
        <w:t xml:space="preserve"> </w:t>
      </w:r>
      <w:r>
        <w:t xml:space="preserve">已难以满足现代咨询机构的高效运营需求。</w:t>
      </w:r>
    </w:p>
    <w:p>
      <w:pPr>
        <w:pStyle w:val="a0"/>
      </w:pPr>
      <w:r>
        <w:t xml:space="preserve">量化咨询客户关系管理系统（简称：量化咨询CRM）应运而生，</w:t>
      </w:r>
      <w:r>
        <w:t xml:space="preserve"> </w:t>
      </w:r>
      <w:r>
        <w:t xml:space="preserve">旨在为专业咨询领域构建一个集智能化客户管理、</w:t>
      </w:r>
      <w:r>
        <w:t xml:space="preserve"> </w:t>
      </w:r>
      <w:r>
        <w:t xml:space="preserve">数据驱动决策与精细化流程管控于一体的综合解决方案。</w:t>
      </w:r>
    </w:p>
    <w:p>
      <w:pPr>
        <w:pStyle w:val="a0"/>
      </w:pPr>
      <w:r>
        <w:t xml:space="preserve">本系统的核心目标是彻底改变咨询行业依赖人工经验与分散数据的管理模式，</w:t>
      </w:r>
      <w:r>
        <w:t xml:space="preserve"> </w:t>
      </w:r>
      <w:r>
        <w:t xml:space="preserve">通过深度整合客户信息、嵌入先进量化分析模型</w:t>
      </w:r>
      <w:r>
        <w:t xml:space="preserve"> </w:t>
      </w:r>
      <w:r>
        <w:t xml:space="preserve">及实现全流程可视化跟踪，赋能咨询机构实现客户价值最大化。</w:t>
      </w:r>
    </w:p>
    <w:p>
      <w:pPr>
        <w:pStyle w:val="a0"/>
      </w:pPr>
      <w:r>
        <w:t xml:space="preserve">系统致力于提升客户数据利用率、优化咨询服务响应效率、</w:t>
      </w:r>
      <w:r>
        <w:t xml:space="preserve"> </w:t>
      </w:r>
      <w:r>
        <w:t xml:space="preserve">强化核心业务数据安全，最终推动咨询业务向标准化、</w:t>
      </w:r>
      <w:r>
        <w:t xml:space="preserve"> </w:t>
      </w:r>
      <w:r>
        <w:t xml:space="preserve">智能化与可量化方向转型升级。</w:t>
      </w:r>
    </w:p>
    <w:bookmarkEnd w:id="25"/>
    <w:bookmarkStart w:id="26" w:name="系统功能概览"/>
    <w:p>
      <w:pPr>
        <w:pStyle w:val="3"/>
      </w:pPr>
      <w:r>
        <w:t xml:space="preserve">2.2 系统功能概览</w:t>
      </w:r>
    </w:p>
    <w:p>
      <w:pPr>
        <w:pStyle w:val="FirstParagraph"/>
      </w:pPr>
      <w:r>
        <w:t xml:space="preserve">本系统采用模块化设计理念，构建了覆盖咨询业务全生命周期的功能体系。</w:t>
      </w:r>
      <w:r>
        <w:t xml:space="preserve"> </w:t>
      </w:r>
      <w:r>
        <w:t xml:space="preserve">主要功能模块包括以下核心组成部分：</w:t>
      </w:r>
    </w:p>
    <w:p>
      <w:pPr>
        <w:numPr>
          <w:ilvl w:val="0"/>
          <w:numId w:val="1002"/>
        </w:numPr>
      </w:pPr>
      <w:r>
        <w:rPr>
          <w:bCs/>
          <w:b/>
        </w:rPr>
        <w:t xml:space="preserve">用户认证模块</w:t>
      </w:r>
      <w:r>
        <w:t xml:space="preserve">：提供安全的系统访问控制，包括用户登录、</w:t>
      </w:r>
      <w:r>
        <w:t xml:space="preserve"> </w:t>
      </w:r>
      <w:r>
        <w:t xml:space="preserve">注册及密码找回等标准身份验证功能</w:t>
      </w:r>
    </w:p>
    <w:p>
      <w:pPr>
        <w:numPr>
          <w:ilvl w:val="0"/>
          <w:numId w:val="1002"/>
        </w:numPr>
      </w:pPr>
      <w:r>
        <w:rPr>
          <w:bCs/>
          <w:b/>
        </w:rPr>
        <w:t xml:space="preserve">客户管理模块</w:t>
      </w:r>
      <w:r>
        <w:t xml:space="preserve">：实现客户信息的集中化存储与管理，</w:t>
      </w:r>
      <w:r>
        <w:t xml:space="preserve"> </w:t>
      </w:r>
      <w:r>
        <w:t xml:space="preserve">支持客户档案动态维护、批量数据导入及多维标签分类</w:t>
      </w:r>
    </w:p>
    <w:p>
      <w:pPr>
        <w:numPr>
          <w:ilvl w:val="0"/>
          <w:numId w:val="1002"/>
        </w:numPr>
      </w:pPr>
      <w:r>
        <w:rPr>
          <w:bCs/>
          <w:b/>
        </w:rPr>
        <w:t xml:space="preserve">量化分析模块</w:t>
      </w:r>
      <w:r>
        <w:t xml:space="preserve">：集成专业数据分析模型，提供客户价值自动评估、</w:t>
      </w:r>
      <w:r>
        <w:t xml:space="preserve"> </w:t>
      </w:r>
      <w:r>
        <w:t xml:space="preserve">风险等级判定、潜在需求预测及可视化报告生成能力</w:t>
      </w:r>
    </w:p>
    <w:p>
      <w:pPr>
        <w:numPr>
          <w:ilvl w:val="0"/>
          <w:numId w:val="1002"/>
        </w:numPr>
      </w:pPr>
      <w:r>
        <w:rPr>
          <w:bCs/>
          <w:b/>
        </w:rPr>
        <w:t xml:space="preserve">服务流程模块</w:t>
      </w:r>
      <w:r>
        <w:t xml:space="preserve">：实现对咨询项目的全过程跟踪管理，</w:t>
      </w:r>
      <w:r>
        <w:t xml:space="preserve"> </w:t>
      </w:r>
      <w:r>
        <w:t xml:space="preserve">具备流程节点监控、自动提醒触发与服务记录归档功能</w:t>
      </w:r>
    </w:p>
    <w:p>
      <w:pPr>
        <w:numPr>
          <w:ilvl w:val="0"/>
          <w:numId w:val="1002"/>
        </w:numPr>
      </w:pPr>
      <w:r>
        <w:rPr>
          <w:bCs/>
          <w:b/>
        </w:rPr>
        <w:t xml:space="preserve">权限管理模块</w:t>
      </w:r>
      <w:r>
        <w:t xml:space="preserve">：构建基于角色与部门的数据访问控制体系，</w:t>
      </w:r>
      <w:r>
        <w:t xml:space="preserve"> </w:t>
      </w:r>
      <w:r>
        <w:t xml:space="preserve">实现细粒度权限分配与完整操作审计追踪</w:t>
      </w:r>
    </w:p>
    <w:p>
      <w:pPr>
        <w:numPr>
          <w:ilvl w:val="0"/>
          <w:numId w:val="1002"/>
        </w:numPr>
      </w:pPr>
      <w:r>
        <w:rPr>
          <w:bCs/>
          <w:b/>
        </w:rPr>
        <w:t xml:space="preserve">系统管理模块</w:t>
      </w:r>
      <w:r>
        <w:t xml:space="preserve">：提供平台参数配置、用户偏好设置</w:t>
      </w:r>
      <w:r>
        <w:t xml:space="preserve"> </w:t>
      </w:r>
      <w:r>
        <w:t xml:space="preserve">及全方位安全日志监控等系统运维支持功能</w:t>
      </w:r>
    </w:p>
    <w:bookmarkEnd w:id="26"/>
    <w:bookmarkStart w:id="27" w:name="系统特点与优势"/>
    <w:p>
      <w:pPr>
        <w:pStyle w:val="3"/>
      </w:pPr>
      <w:r>
        <w:t xml:space="preserve">2.3 系统特点与优势</w:t>
      </w:r>
    </w:p>
    <w:p>
      <w:pPr>
        <w:pStyle w:val="FirstParagraph"/>
      </w:pPr>
      <w:r>
        <w:t xml:space="preserve">量化咨询CRM系统融合现代软件工程理念与咨询行业专业需求，</w:t>
      </w:r>
      <w:r>
        <w:t xml:space="preserve"> </w:t>
      </w:r>
      <w:r>
        <w:t xml:space="preserve">在技术架构与业务功能层面具备以下显著特点：</w:t>
      </w:r>
    </w:p>
    <w:p>
      <w:pPr>
        <w:pStyle w:val="a0"/>
      </w:pPr>
      <w:r>
        <w:rPr>
          <w:bCs/>
          <w:b/>
        </w:rPr>
        <w:t xml:space="preserve">先进的技术架构设计</w:t>
      </w:r>
      <w:r>
        <w:t xml:space="preserve"> </w:t>
      </w:r>
      <w:r>
        <w:t xml:space="preserve">- 采用Spring Boot + React前后端分离架构，确保系统的高性能与可维护性</w:t>
      </w:r>
      <w:r>
        <w:t xml:space="preserve"> </w:t>
      </w:r>
      <w:r>
        <w:t xml:space="preserve">- 基于Java 17与TypeScript的现代化技术栈，保障代码质量与长期演进能力</w:t>
      </w:r>
      <w:r>
        <w:t xml:space="preserve"> </w:t>
      </w:r>
      <w:r>
        <w:t xml:space="preserve">- 支持多浏览器访问的跨平台兼容性，适应多样化办公环境需求</w:t>
      </w:r>
    </w:p>
    <w:p>
      <w:pPr>
        <w:pStyle w:val="a0"/>
      </w:pPr>
      <w:r>
        <w:rPr>
          <w:bCs/>
          <w:b/>
        </w:rPr>
        <w:t xml:space="preserve">智能化数据分析能力</w:t>
      </w:r>
      <w:r>
        <w:t xml:space="preserve"> </w:t>
      </w:r>
      <w:r>
        <w:t xml:space="preserve">- 内嵌专业量化分析模型，实现客户价值与风险的自动化评估</w:t>
      </w:r>
      <w:r>
        <w:t xml:space="preserve"> </w:t>
      </w:r>
      <w:r>
        <w:t xml:space="preserve">- 提供多维度数据可视化展示，将复杂分析结果转化为直观洞察</w:t>
      </w:r>
      <w:r>
        <w:t xml:space="preserve"> </w:t>
      </w:r>
      <w:r>
        <w:t xml:space="preserve">- 支持需求预测与趋势分析，为业务决策提供数据支撑</w:t>
      </w:r>
    </w:p>
    <w:p>
      <w:pPr>
        <w:pStyle w:val="a0"/>
      </w:pPr>
      <w:r>
        <w:rPr>
          <w:bCs/>
          <w:b/>
        </w:rPr>
        <w:t xml:space="preserve">精细化权限管控机制</w:t>
      </w:r>
      <w:r>
        <w:t xml:space="preserve"> </w:t>
      </w:r>
      <w:r>
        <w:t xml:space="preserve">- 建立基于角色与数据敏感度的分级权限管理体系</w:t>
      </w:r>
      <w:r>
        <w:t xml:space="preserve"> </w:t>
      </w:r>
      <w:r>
        <w:t xml:space="preserve">- 实现字段级数据访问控制，确保敏感客户信息安全</w:t>
      </w:r>
      <w:r>
        <w:t xml:space="preserve"> </w:t>
      </w:r>
      <w:r>
        <w:t xml:space="preserve">- 提供完整的操作审计日志，满足合规性要求</w:t>
      </w:r>
    </w:p>
    <w:p>
      <w:pPr>
        <w:pStyle w:val="a0"/>
      </w:pPr>
      <w:r>
        <w:rPr>
          <w:bCs/>
          <w:b/>
        </w:rPr>
        <w:t xml:space="preserve">业务流程高度集成</w:t>
      </w:r>
      <w:r>
        <w:t xml:space="preserve"> </w:t>
      </w:r>
      <w:r>
        <w:t xml:space="preserve">- 打破传统CRM系统与业务管理系统的壁垒，实现无缝衔接</w:t>
      </w:r>
      <w:r>
        <w:t xml:space="preserve"> </w:t>
      </w:r>
      <w:r>
        <w:t xml:space="preserve">- 自动化流程提醒与节点跟踪，显著提升项目执行效率</w:t>
      </w:r>
      <w:r>
        <w:t xml:space="preserve"> </w:t>
      </w:r>
      <w:r>
        <w:t xml:space="preserve">- 统一数据入口与出口，消除信息孤岛，确保数据一致性</w:t>
      </w:r>
    </w:p>
    <w:bookmarkEnd w:id="27"/>
    <w:bookmarkStart w:id="28" w:name="系统适用场景"/>
    <w:p>
      <w:pPr>
        <w:pStyle w:val="3"/>
      </w:pPr>
      <w:r>
        <w:t xml:space="preserve">2.4 系统适用场景</w:t>
      </w:r>
    </w:p>
    <w:p>
      <w:pPr>
        <w:pStyle w:val="FirstParagraph"/>
      </w:pPr>
      <w:r>
        <w:t xml:space="preserve">本系统专门针对咨询行业的业务特性设计，</w:t>
      </w:r>
      <w:r>
        <w:t xml:space="preserve"> </w:t>
      </w:r>
      <w:r>
        <w:t xml:space="preserve">在以下应用场景中能够发挥最大效能：</w:t>
      </w:r>
    </w:p>
    <w:p>
      <w:pPr>
        <w:pStyle w:val="a0"/>
      </w:pPr>
      <w:r>
        <w:rPr>
          <w:bCs/>
          <w:b/>
        </w:rPr>
        <w:t xml:space="preserve">专业咨询服务机构</w:t>
      </w:r>
      <w:r>
        <w:t xml:space="preserve"> </w:t>
      </w:r>
      <w:r>
        <w:t xml:space="preserve">适用于管理咨询、财务咨询、战略咨询等各类专业服务机构，</w:t>
      </w:r>
      <w:r>
        <w:t xml:space="preserve"> </w:t>
      </w:r>
      <w:r>
        <w:t xml:space="preserve">帮助系统化管理客户资源、标准化服务流程</w:t>
      </w:r>
      <w:r>
        <w:t xml:space="preserve"> </w:t>
      </w:r>
      <w:r>
        <w:t xml:space="preserve">并提升项目交付质量与客户满意度。</w:t>
      </w:r>
    </w:p>
    <w:p>
      <w:pPr>
        <w:pStyle w:val="a0"/>
      </w:pPr>
      <w:r>
        <w:rPr>
          <w:bCs/>
          <w:b/>
        </w:rPr>
        <w:t xml:space="preserve">数据驱动型咨询团队</w:t>
      </w:r>
      <w:r>
        <w:t xml:space="preserve"> </w:t>
      </w:r>
      <w:r>
        <w:t xml:space="preserve">特别适合重视数据分析与量化决策的咨询团队，</w:t>
      </w:r>
      <w:r>
        <w:t xml:space="preserve"> </w:t>
      </w:r>
      <w:r>
        <w:t xml:space="preserve">通过系统内置的分析工具深度挖掘客户价值，</w:t>
      </w:r>
      <w:r>
        <w:t xml:space="preserve"> </w:t>
      </w:r>
      <w:r>
        <w:t xml:space="preserve">实现从经验驱动向数据驱动的业务模式转型。</w:t>
      </w:r>
    </w:p>
    <w:p>
      <w:pPr>
        <w:pStyle w:val="a0"/>
      </w:pPr>
      <w:r>
        <w:rPr>
          <w:bCs/>
          <w:b/>
        </w:rPr>
        <w:t xml:space="preserve">多层级组织架构的咨询公司</w:t>
      </w:r>
      <w:r>
        <w:t xml:space="preserve"> </w:t>
      </w:r>
      <w:r>
        <w:t xml:space="preserve">满足具有复杂组织架构的咨询公司对数据权限管控的需求，</w:t>
      </w:r>
      <w:r>
        <w:t xml:space="preserve"> </w:t>
      </w:r>
      <w:r>
        <w:t xml:space="preserve">支持按部门、角色、项目等多维度设置数据访问权限，</w:t>
      </w:r>
      <w:r>
        <w:t xml:space="preserve"> </w:t>
      </w:r>
      <w:r>
        <w:t xml:space="preserve">确保信息安全与合规运营。</w:t>
      </w:r>
    </w:p>
    <w:p>
      <w:pPr>
        <w:pStyle w:val="a0"/>
      </w:pPr>
      <w:r>
        <w:rPr>
          <w:bCs/>
          <w:b/>
        </w:rPr>
        <w:t xml:space="preserve">追求标准化与规模化的成长型咨询企业</w:t>
      </w:r>
      <w:r>
        <w:t xml:space="preserve"> </w:t>
      </w:r>
      <w:r>
        <w:t xml:space="preserve">为处于快速成长期的咨询企业提供可扩展的业务管理平台，</w:t>
      </w:r>
      <w:r>
        <w:t xml:space="preserve"> </w:t>
      </w:r>
      <w:r>
        <w:t xml:space="preserve">通过流程标准化与自动化支撑业务规模扩张，</w:t>
      </w:r>
      <w:r>
        <w:t xml:space="preserve"> </w:t>
      </w:r>
      <w:r>
        <w:t xml:space="preserve">同时保持服务品质的一致性。</w:t>
      </w:r>
    </w:p>
    <w:bookmarkEnd w:id="28"/>
    <w:bookmarkEnd w:id="29"/>
    <w:bookmarkStart w:id="45" w:name="三系统架构"/>
    <w:p>
      <w:pPr>
        <w:pStyle w:val="20"/>
      </w:pPr>
      <w:r>
        <w:t xml:space="preserve">三、系统架构</w:t>
      </w:r>
    </w:p>
    <w:bookmarkStart w:id="30" w:name="整体架构设计"/>
    <w:p>
      <w:pPr>
        <w:pStyle w:val="3"/>
      </w:pPr>
      <w:r>
        <w:t xml:space="preserve">3.1 整体架构设计</w:t>
      </w:r>
    </w:p>
    <w:p>
      <w:pPr>
        <w:pStyle w:val="FirstParagraph"/>
      </w:pPr>
      <w:r>
        <w:t xml:space="preserve">量化咨询客户关系管理系统采用基于浏览器的前后端分离架构，</w:t>
      </w:r>
      <w:r>
        <w:t xml:space="preserve"> </w:t>
      </w:r>
      <w:r>
        <w:t xml:space="preserve">整体架构清晰地划分为表现层、应用服务层、数据持久层与基础设施层。</w:t>
      </w:r>
      <w:r>
        <w:t xml:space="preserve"> </w:t>
      </w:r>
      <w:r>
        <w:t xml:space="preserve">各层之间通过定义良好的接口进行通信，确保系统的松耦合与高内聚。</w:t>
      </w:r>
    </w:p>
    <w:p>
      <w:pPr>
        <w:pStyle w:val="a0"/>
      </w:pPr>
      <w:r>
        <w:t xml:space="preserve">系统整体架构由以下核心部分组成：</w:t>
      </w:r>
      <w:r>
        <w:t xml:space="preserve"> </w:t>
      </w:r>
      <w:r>
        <w:t xml:space="preserve">-</w:t>
      </w:r>
      <w:r>
        <w:t xml:space="preserve"> </w:t>
      </w:r>
      <w:r>
        <w:rPr>
          <w:bCs/>
          <w:b/>
        </w:rPr>
        <w:t xml:space="preserve">表现层</w:t>
      </w:r>
      <w:r>
        <w:t xml:space="preserve">：基于React与TypeScript构建的现代化Web用户界面</w:t>
      </w:r>
      <w:r>
        <w:t xml:space="preserve"> </w:t>
      </w:r>
      <w:r>
        <w:t xml:space="preserve">-</w:t>
      </w:r>
      <w:r>
        <w:t xml:space="preserve"> </w:t>
      </w:r>
      <w:r>
        <w:rPr>
          <w:bCs/>
          <w:b/>
        </w:rPr>
        <w:t xml:space="preserve">应用服务层</w:t>
      </w:r>
      <w:r>
        <w:t xml:space="preserve">：Spring Boot框架支撑的Java后端业务逻辑处理</w:t>
      </w:r>
      <w:r>
        <w:t xml:space="preserve"> </w:t>
      </w:r>
      <w:r>
        <w:t xml:space="preserve">-</w:t>
      </w:r>
      <w:r>
        <w:t xml:space="preserve"> </w:t>
      </w:r>
      <w:r>
        <w:rPr>
          <w:bCs/>
          <w:b/>
        </w:rPr>
        <w:t xml:space="preserve">数据持久层</w:t>
      </w:r>
      <w:r>
        <w:t xml:space="preserve">：PostgreSQL关系型数据库与Redis内存数据库</w:t>
      </w:r>
      <w:r>
        <w:t xml:space="preserve"> </w:t>
      </w:r>
      <w:r>
        <w:t xml:space="preserve">-</w:t>
      </w:r>
      <w:r>
        <w:t xml:space="preserve"> </w:t>
      </w:r>
      <w:r>
        <w:rPr>
          <w:bCs/>
          <w:b/>
        </w:rPr>
        <w:t xml:space="preserve">基础设施层</w:t>
      </w:r>
      <w:r>
        <w:t xml:space="preserve">：Linux服务器操作系统与Java运行环境支撑</w:t>
      </w:r>
    </w:p>
    <w:p>
      <w:pPr>
        <w:pStyle w:val="a0"/>
      </w:pPr>
      <w:r>
        <w:t xml:space="preserve">前端应用通过RESTful API与后端服务进行数据交互，</w:t>
      </w:r>
      <w:r>
        <w:t xml:space="preserve"> </w:t>
      </w:r>
      <w:r>
        <w:t xml:space="preserve">后端服务负责业务逻辑处理、量化分析计算和数据存取操作。</w:t>
      </w:r>
      <w:r>
        <w:t xml:space="preserve"> </w:t>
      </w:r>
      <w:r>
        <w:t xml:space="preserve">数据库层采用PostgreSQL存储结构化业务数据，</w:t>
      </w:r>
      <w:r>
        <w:t xml:space="preserve"> </w:t>
      </w:r>
      <w:r>
        <w:t xml:space="preserve">Redis提供缓存服务和会话管理支持。</w:t>
      </w:r>
    </w:p>
    <w:p>
      <w:pPr>
        <w:pStyle w:val="a0"/>
      </w:pPr>
      <w:r>
        <w:t xml:space="preserve">这种分层架构设计确保了系统的可扩展性与可维护性，</w:t>
      </w:r>
      <w:r>
        <w:t xml:space="preserve"> </w:t>
      </w:r>
      <w:r>
        <w:t xml:space="preserve">各层职责明确，便于团队分工协作与技术栈独立演进。</w:t>
      </w:r>
      <w:r>
        <w:t xml:space="preserve"> </w:t>
      </w:r>
      <w:r>
        <w:t xml:space="preserve">前后端分离的设计模式支持用户界面的快速迭代更新，</w:t>
      </w:r>
      <w:r>
        <w:t xml:space="preserve"> </w:t>
      </w:r>
      <w:r>
        <w:t xml:space="preserve">同时保持后端服务的稳定性与一致性。</w:t>
      </w:r>
    </w:p>
    <w:bookmarkEnd w:id="30"/>
    <w:bookmarkStart w:id="35" w:name="技术架构详述"/>
    <w:p>
      <w:pPr>
        <w:pStyle w:val="3"/>
      </w:pPr>
      <w:r>
        <w:t xml:space="preserve">3.2 技术架构详述</w:t>
      </w:r>
    </w:p>
    <w:p>
      <w:pPr>
        <w:pStyle w:val="FirstParagraph"/>
      </w:pPr>
      <w:r>
        <w:t xml:space="preserve">系统技术架构基于现代企业级应用开发的最佳实践，</w:t>
      </w:r>
      <w:r>
        <w:t xml:space="preserve"> </w:t>
      </w:r>
      <w:r>
        <w:t xml:space="preserve">选用的技术栈充分考虑了咨询行业的业务特点与性能要求。</w:t>
      </w:r>
    </w:p>
    <w:bookmarkStart w:id="31" w:name="后端技术架构"/>
    <w:p>
      <w:pPr>
        <w:pStyle w:val="4"/>
      </w:pPr>
      <w:r>
        <w:t xml:space="preserve">3.2.1 后端技术架构</w:t>
      </w:r>
    </w:p>
    <w:p>
      <w:pPr>
        <w:pStyle w:val="FirstParagraph"/>
      </w:pPr>
      <w:r>
        <w:t xml:space="preserve">后端采用Java 17与Spring Boot框架作为核心技术栈：</w:t>
      </w:r>
      <w:r>
        <w:t xml:space="preserve"> </w:t>
      </w:r>
      <w:r>
        <w:t xml:space="preserve">-</w:t>
      </w:r>
      <w:r>
        <w:t xml:space="preserve"> </w:t>
      </w:r>
      <w:r>
        <w:rPr>
          <w:bCs/>
          <w:b/>
        </w:rPr>
        <w:t xml:space="preserve">编程语言</w:t>
      </w:r>
      <w:r>
        <w:t xml:space="preserve">：Java 17提供稳定的运行环境与现代语言特性</w:t>
      </w:r>
      <w:r>
        <w:t xml:space="preserve"> </w:t>
      </w:r>
      <w:r>
        <w:t xml:space="preserve">-</w:t>
      </w:r>
      <w:r>
        <w:t xml:space="preserve"> </w:t>
      </w:r>
      <w:r>
        <w:rPr>
          <w:bCs/>
          <w:b/>
        </w:rPr>
        <w:t xml:space="preserve">开发框架</w:t>
      </w:r>
      <w:r>
        <w:t xml:space="preserve">：Spring Boot简化企业级应用开发与部署流程</w:t>
      </w:r>
      <w:r>
        <w:t xml:space="preserve"> </w:t>
      </w:r>
      <w:r>
        <w:t xml:space="preserve">-</w:t>
      </w:r>
      <w:r>
        <w:t xml:space="preserve"> </w:t>
      </w:r>
      <w:r>
        <w:rPr>
          <w:bCs/>
          <w:b/>
        </w:rPr>
        <w:t xml:space="preserve">项目结构</w:t>
      </w:r>
      <w:r>
        <w:t xml:space="preserve">：基于com.quantcrm.system包名组织的分层架构</w:t>
      </w:r>
      <w:r>
        <w:t xml:space="preserve"> </w:t>
      </w:r>
      <w:r>
        <w:t xml:space="preserve">-</w:t>
      </w:r>
      <w:r>
        <w:t xml:space="preserve"> </w:t>
      </w:r>
      <w:r>
        <w:rPr>
          <w:bCs/>
          <w:b/>
        </w:rPr>
        <w:t xml:space="preserve">数据处理</w:t>
      </w:r>
      <w:r>
        <w:t xml:space="preserve">：JPA/Hibernate实现对象关系映射与数据持久化</w:t>
      </w:r>
    </w:p>
    <w:p>
      <w:pPr>
        <w:pStyle w:val="a0"/>
      </w:pPr>
      <w:r>
        <w:t xml:space="preserve">Spring Boot框架提供了依赖注入、事务管理和安全控制等企业级功能，</w:t>
      </w:r>
      <w:r>
        <w:t xml:space="preserve"> </w:t>
      </w:r>
      <w:r>
        <w:t xml:space="preserve">通过自动配置机制大幅减少了样板代码的编写。</w:t>
      </w:r>
      <w:r>
        <w:t xml:space="preserve"> </w:t>
      </w:r>
      <w:r>
        <w:t xml:space="preserve">系统采用分层架构模式，清晰划分控制器层、服务层与数据访问层。</w:t>
      </w:r>
    </w:p>
    <w:bookmarkEnd w:id="31"/>
    <w:bookmarkStart w:id="32" w:name="前端技术架构"/>
    <w:p>
      <w:pPr>
        <w:pStyle w:val="4"/>
      </w:pPr>
      <w:r>
        <w:t xml:space="preserve">3.2.2 前端技术架构</w:t>
      </w:r>
    </w:p>
    <w:p>
      <w:pPr>
        <w:pStyle w:val="FirstParagraph"/>
      </w:pPr>
      <w:r>
        <w:t xml:space="preserve">前端基于现代化Web开发技术栈构建：</w:t>
      </w:r>
      <w:r>
        <w:t xml:space="preserve"> </w:t>
      </w:r>
      <w:r>
        <w:t xml:space="preserve">-</w:t>
      </w:r>
      <w:r>
        <w:t xml:space="preserve"> </w:t>
      </w:r>
      <w:r>
        <w:rPr>
          <w:bCs/>
          <w:b/>
        </w:rPr>
        <w:t xml:space="preserve">编程语言</w:t>
      </w:r>
      <w:r>
        <w:t xml:space="preserve">：TypeScript提供类型安全与更好的开发体验</w:t>
      </w:r>
      <w:r>
        <w:t xml:space="preserve"> </w:t>
      </w:r>
      <w:r>
        <w:t xml:space="preserve">-</w:t>
      </w:r>
      <w:r>
        <w:t xml:space="preserve"> </w:t>
      </w:r>
      <w:r>
        <w:rPr>
          <w:bCs/>
          <w:b/>
        </w:rPr>
        <w:t xml:space="preserve">UI框架</w:t>
      </w:r>
      <w:r>
        <w:t xml:space="preserve">：React支持组件化开发与虚拟DOM高效渲染</w:t>
      </w:r>
      <w:r>
        <w:t xml:space="preserve"> </w:t>
      </w:r>
      <w:r>
        <w:t xml:space="preserve">-</w:t>
      </w:r>
      <w:r>
        <w:t xml:space="preserve"> </w:t>
      </w:r>
      <w:r>
        <w:rPr>
          <w:bCs/>
          <w:b/>
        </w:rPr>
        <w:t xml:space="preserve">UI组件库</w:t>
      </w:r>
      <w:r>
        <w:t xml:space="preserve">：Ant Design提供专业级的企业UI组件</w:t>
      </w:r>
      <w:r>
        <w:t xml:space="preserve"> </w:t>
      </w:r>
      <w:r>
        <w:t xml:space="preserve">-</w:t>
      </w:r>
      <w:r>
        <w:t xml:space="preserve"> </w:t>
      </w:r>
      <w:r>
        <w:rPr>
          <w:bCs/>
          <w:b/>
        </w:rPr>
        <w:t xml:space="preserve">图标库</w:t>
      </w:r>
      <w:r>
        <w:t xml:space="preserve">：Ant Design Icons为主，FontAwesome为备用方案</w:t>
      </w:r>
    </w:p>
    <w:p>
      <w:pPr>
        <w:pStyle w:val="a0"/>
      </w:pPr>
      <w:r>
        <w:t xml:space="preserve">React框架的组件化架构支持用户界面的模块化开发与复用，</w:t>
      </w:r>
      <w:r>
        <w:t xml:space="preserve"> </w:t>
      </w:r>
      <w:r>
        <w:t xml:space="preserve">TypeScript的静态类型检查显著提升了代码质量与可维护性。</w:t>
      </w:r>
      <w:r>
        <w:t xml:space="preserve"> </w:t>
      </w:r>
      <w:r>
        <w:t xml:space="preserve">Ant Design组件库确保了界面风格的一致性与专业性。</w:t>
      </w:r>
    </w:p>
    <w:bookmarkEnd w:id="32"/>
    <w:bookmarkStart w:id="33" w:name="数据存储架构"/>
    <w:p>
      <w:pPr>
        <w:pStyle w:val="4"/>
      </w:pPr>
      <w:r>
        <w:t xml:space="preserve">3.2.3 数据存储架构</w:t>
      </w:r>
    </w:p>
    <w:p>
      <w:pPr>
        <w:pStyle w:val="FirstParagraph"/>
      </w:pPr>
      <w:r>
        <w:t xml:space="preserve">系统采用混合数据存储策略以满足不同业务场景需求：</w:t>
      </w:r>
      <w:r>
        <w:t xml:space="preserve"> </w:t>
      </w:r>
      <w:r>
        <w:t xml:space="preserve">-</w:t>
      </w:r>
      <w:r>
        <w:t xml:space="preserve"> </w:t>
      </w:r>
      <w:r>
        <w:rPr>
          <w:bCs/>
          <w:b/>
        </w:rPr>
        <w:t xml:space="preserve">主数据库</w:t>
      </w:r>
      <w:r>
        <w:t xml:space="preserve">：PostgreSQL 14提供ACID事务支持与复杂查询能力</w:t>
      </w:r>
      <w:r>
        <w:t xml:space="preserve"> </w:t>
      </w:r>
      <w:r>
        <w:t xml:space="preserve">-</w:t>
      </w:r>
      <w:r>
        <w:t xml:space="preserve"> </w:t>
      </w:r>
      <w:r>
        <w:rPr>
          <w:bCs/>
          <w:b/>
        </w:rPr>
        <w:t xml:space="preserve">缓存数据库</w:t>
      </w:r>
      <w:r>
        <w:t xml:space="preserve">：Redis提供高性能缓存与会话存储服务</w:t>
      </w:r>
      <w:r>
        <w:t xml:space="preserve"> </w:t>
      </w:r>
      <w:r>
        <w:t xml:space="preserve">-</w:t>
      </w:r>
      <w:r>
        <w:t xml:space="preserve"> </w:t>
      </w:r>
      <w:r>
        <w:rPr>
          <w:bCs/>
          <w:b/>
        </w:rPr>
        <w:t xml:space="preserve">数据安全</w:t>
      </w:r>
      <w:r>
        <w:t xml:space="preserve">：数据库级加密与访问控制保障数据安全</w:t>
      </w:r>
    </w:p>
    <w:p>
      <w:pPr>
        <w:pStyle w:val="a0"/>
      </w:pPr>
      <w:r>
        <w:t xml:space="preserve">PostgreSQL负责存储客户档案、咨询记录、分析结果等核心业务数据，</w:t>
      </w:r>
      <w:r>
        <w:t xml:space="preserve"> </w:t>
      </w:r>
      <w:r>
        <w:t xml:space="preserve">其强大的JSON支持能力便于存储半结构化的客户偏好数据。</w:t>
      </w:r>
      <w:r>
        <w:t xml:space="preserve"> </w:t>
      </w:r>
      <w:r>
        <w:t xml:space="preserve">Redis用于缓存热点数据、用户会话存储和量化分析中间结果。</w:t>
      </w:r>
    </w:p>
    <w:bookmarkEnd w:id="33"/>
    <w:bookmarkStart w:id="34" w:name="安全架构"/>
    <w:p>
      <w:pPr>
        <w:pStyle w:val="4"/>
      </w:pPr>
      <w:r>
        <w:t xml:space="preserve">3.2.4 安全架构</w:t>
      </w:r>
    </w:p>
    <w:p>
      <w:pPr>
        <w:pStyle w:val="FirstParagraph"/>
      </w:pPr>
      <w:r>
        <w:t xml:space="preserve">系统安全架构采用多层次防护策略：</w:t>
      </w:r>
      <w:r>
        <w:t xml:space="preserve"> </w:t>
      </w:r>
      <w:r>
        <w:t xml:space="preserve">-</w:t>
      </w:r>
      <w:r>
        <w:t xml:space="preserve"> </w:t>
      </w:r>
      <w:r>
        <w:rPr>
          <w:bCs/>
          <w:b/>
        </w:rPr>
        <w:t xml:space="preserve">身份认证</w:t>
      </w:r>
      <w:r>
        <w:t xml:space="preserve">：基于Token的无状态认证机制</w:t>
      </w:r>
      <w:r>
        <w:t xml:space="preserve"> </w:t>
      </w:r>
      <w:r>
        <w:t xml:space="preserve">-</w:t>
      </w:r>
      <w:r>
        <w:t xml:space="preserve"> </w:t>
      </w:r>
      <w:r>
        <w:rPr>
          <w:bCs/>
          <w:b/>
        </w:rPr>
        <w:t xml:space="preserve">权限控制</w:t>
      </w:r>
      <w:r>
        <w:t xml:space="preserve">：基于角色的细粒度数据访问控制</w:t>
      </w:r>
      <w:r>
        <w:t xml:space="preserve"> </w:t>
      </w:r>
      <w:r>
        <w:t xml:space="preserve">-</w:t>
      </w:r>
      <w:r>
        <w:t xml:space="preserve"> </w:t>
      </w:r>
      <w:r>
        <w:rPr>
          <w:bCs/>
          <w:b/>
        </w:rPr>
        <w:t xml:space="preserve">安全审计</w:t>
      </w:r>
      <w:r>
        <w:t xml:space="preserve">：完整的操作日志与数据访问日志记录</w:t>
      </w:r>
      <w:r>
        <w:t xml:space="preserve"> </w:t>
      </w:r>
      <w:r>
        <w:t xml:space="preserve">-</w:t>
      </w:r>
      <w:r>
        <w:t xml:space="preserve"> </w:t>
      </w:r>
      <w:r>
        <w:rPr>
          <w:bCs/>
          <w:b/>
        </w:rPr>
        <w:t xml:space="preserve">数据传输</w:t>
      </w:r>
      <w:r>
        <w:t xml:space="preserve">：HTTPS加密保障网络通信安全</w:t>
      </w:r>
    </w:p>
    <w:p>
      <w:pPr>
        <w:pStyle w:val="a0"/>
      </w:pPr>
      <w:r>
        <w:t xml:space="preserve">安全模块贯穿整个技术架构，从前端的数据展示控制，</w:t>
      </w:r>
      <w:r>
        <w:t xml:space="preserve"> </w:t>
      </w:r>
      <w:r>
        <w:t xml:space="preserve">到后端的业务逻辑权限校验，再到数据库的访问权限管理，</w:t>
      </w:r>
      <w:r>
        <w:t xml:space="preserve"> </w:t>
      </w:r>
      <w:r>
        <w:t xml:space="preserve">形成完整的安全防护体系。</w:t>
      </w:r>
    </w:p>
    <w:bookmarkEnd w:id="34"/>
    <w:bookmarkEnd w:id="35"/>
    <w:bookmarkStart w:id="39" w:name="模块划分与功能映射"/>
    <w:p>
      <w:pPr>
        <w:pStyle w:val="3"/>
      </w:pPr>
      <w:r>
        <w:t xml:space="preserve">3.3 模块划分与功能映射</w:t>
      </w:r>
    </w:p>
    <w:p>
      <w:pPr>
        <w:pStyle w:val="FirstParagraph"/>
      </w:pPr>
      <w:r>
        <w:t xml:space="preserve">系统按照业务领域和功能特性划分为十大核心模块，</w:t>
      </w:r>
      <w:r>
        <w:t xml:space="preserve"> </w:t>
      </w:r>
      <w:r>
        <w:t xml:space="preserve">每个模块包含若干子功能，共同支撑系统的完整业务流程。</w:t>
      </w:r>
    </w:p>
    <w:bookmarkStart w:id="36" w:name="核心业务模块"/>
    <w:p>
      <w:pPr>
        <w:pStyle w:val="4"/>
      </w:pPr>
      <w:r>
        <w:t xml:space="preserve">3.3.1 核心业务模块</w:t>
      </w:r>
    </w:p>
    <w:p>
      <w:pPr>
        <w:pStyle w:val="FirstParagraph"/>
      </w:pPr>
      <w:r>
        <w:rPr>
          <w:bCs/>
          <w:b/>
        </w:rPr>
        <w:t xml:space="preserve">客户管理模块</w:t>
      </w:r>
      <w:r>
        <w:t xml:space="preserve"> </w:t>
      </w:r>
      <w:r>
        <w:t xml:space="preserve">- 客户列表：提供客户信息的集中展示与检索功能</w:t>
      </w:r>
      <w:r>
        <w:t xml:space="preserve"> </w:t>
      </w:r>
      <w:r>
        <w:t xml:space="preserve">- 客户档案：建立动态更新的客户全生命周期档案</w:t>
      </w:r>
      <w:r>
        <w:t xml:space="preserve"> </w:t>
      </w:r>
      <w:r>
        <w:t xml:space="preserve">- 客户导入：支持批量导入客户数据并自动去重</w:t>
      </w:r>
      <w:r>
        <w:t xml:space="preserve"> </w:t>
      </w:r>
      <w:r>
        <w:t xml:space="preserve">- 客户标签：基于规则引擎的自动化客户标签管理</w:t>
      </w:r>
    </w:p>
    <w:p>
      <w:pPr>
        <w:pStyle w:val="a0"/>
      </w:pPr>
      <w:r>
        <w:rPr>
          <w:bCs/>
          <w:b/>
        </w:rPr>
        <w:t xml:space="preserve">量化分析模块</w:t>
      </w:r>
      <w:r>
        <w:t xml:space="preserve"> </w:t>
      </w:r>
      <w:r>
        <w:t xml:space="preserve">- 客户价值分析：运用数据模型评估客户当前价值与潜在价值</w:t>
      </w:r>
      <w:r>
        <w:t xml:space="preserve"> </w:t>
      </w:r>
      <w:r>
        <w:t xml:space="preserve">- 风险评估：多维度评估客户风险等级与信用状况</w:t>
      </w:r>
      <w:r>
        <w:t xml:space="preserve"> </w:t>
      </w:r>
      <w:r>
        <w:t xml:space="preserve">- 需求预测：基于历史数据预测客户未来服务需求</w:t>
      </w:r>
      <w:r>
        <w:t xml:space="preserve"> </w:t>
      </w:r>
      <w:r>
        <w:t xml:space="preserve">- 分析报告：自动生成可视化数据分析报告与洞察建议</w:t>
      </w:r>
    </w:p>
    <w:p>
      <w:pPr>
        <w:pStyle w:val="a0"/>
      </w:pPr>
      <w:r>
        <w:rPr>
          <w:bCs/>
          <w:b/>
        </w:rPr>
        <w:t xml:space="preserve">服务流程模块</w:t>
      </w:r>
      <w:r>
        <w:t xml:space="preserve"> </w:t>
      </w:r>
      <w:r>
        <w:t xml:space="preserve">- 项目管理：全流程管理咨询项目的启动、执行与交付</w:t>
      </w:r>
      <w:r>
        <w:t xml:space="preserve"> </w:t>
      </w:r>
      <w:r>
        <w:t xml:space="preserve">- 流程跟踪：实时监控项目进度与关键节点完成情况</w:t>
      </w:r>
      <w:r>
        <w:t xml:space="preserve"> </w:t>
      </w:r>
      <w:r>
        <w:t xml:space="preserve">- 节点提醒：智能提醒关键任务节点与截止期限</w:t>
      </w:r>
      <w:r>
        <w:t xml:space="preserve"> </w:t>
      </w:r>
      <w:r>
        <w:t xml:space="preserve">- 服务记录：完整记录每次客户服务的内容与结果</w:t>
      </w:r>
    </w:p>
    <w:bookmarkEnd w:id="36"/>
    <w:bookmarkStart w:id="37" w:name="支撑功能模块"/>
    <w:p>
      <w:pPr>
        <w:pStyle w:val="4"/>
      </w:pPr>
      <w:r>
        <w:t xml:space="preserve">3.3.2 支撑功能模块</w:t>
      </w:r>
    </w:p>
    <w:p>
      <w:pPr>
        <w:pStyle w:val="FirstParagraph"/>
      </w:pPr>
      <w:r>
        <w:rPr>
          <w:bCs/>
          <w:b/>
        </w:rPr>
        <w:t xml:space="preserve">权限管理模块</w:t>
      </w:r>
      <w:r>
        <w:t xml:space="preserve"> </w:t>
      </w:r>
      <w:r>
        <w:t xml:space="preserve">- 用户认证：提供安全的登录、注册与密码管理功能</w:t>
      </w:r>
      <w:r>
        <w:t xml:space="preserve"> </w:t>
      </w:r>
      <w:r>
        <w:t xml:space="preserve">- 数据权限：实现基于角色和部门的数据分级访问控制</w:t>
      </w:r>
      <w:r>
        <w:t xml:space="preserve"> </w:t>
      </w:r>
      <w:r>
        <w:t xml:space="preserve">- 用户权限：管理用户账户、角色分配与部门组织结构</w:t>
      </w:r>
      <w:r>
        <w:t xml:space="preserve"> </w:t>
      </w:r>
      <w:r>
        <w:t xml:space="preserve">- 权限审计：记录所有权限变更与数据访问操作日志</w:t>
      </w:r>
    </w:p>
    <w:p>
      <w:pPr>
        <w:pStyle w:val="a0"/>
      </w:pPr>
      <w:r>
        <w:rPr>
          <w:bCs/>
          <w:b/>
        </w:rPr>
        <w:t xml:space="preserve">系统管理模块</w:t>
      </w:r>
      <w:r>
        <w:t xml:space="preserve"> </w:t>
      </w:r>
      <w:r>
        <w:t xml:space="preserve">- 系统设置：配置平台基本信息与业务参数</w:t>
      </w:r>
      <w:r>
        <w:t xml:space="preserve"> </w:t>
      </w:r>
      <w:r>
        <w:t xml:space="preserve">- 个人中心：用户个人信息管理与偏好设置</w:t>
      </w:r>
      <w:r>
        <w:t xml:space="preserve"> </w:t>
      </w:r>
      <w:r>
        <w:t xml:space="preserve">- 安全日志：全面记录系统操作、登录与数据访问日志</w:t>
      </w:r>
    </w:p>
    <w:bookmarkEnd w:id="37"/>
    <w:bookmarkStart w:id="38" w:name="模块交互关系"/>
    <w:p>
      <w:pPr>
        <w:pStyle w:val="4"/>
      </w:pPr>
      <w:r>
        <w:t xml:space="preserve">3.3.3 模块交互关系</w:t>
      </w:r>
    </w:p>
    <w:p>
      <w:pPr>
        <w:pStyle w:val="FirstParagraph"/>
      </w:pPr>
      <w:r>
        <w:t xml:space="preserve">各业务模块通过定义良好的服务接口进行协作：</w:t>
      </w:r>
      <w:r>
        <w:t xml:space="preserve"> </w:t>
      </w:r>
      <w:r>
        <w:t xml:space="preserve">- 客户管理模块为量化分析提供基础数据支持</w:t>
      </w:r>
      <w:r>
        <w:t xml:space="preserve"> </w:t>
      </w:r>
      <w:r>
        <w:t xml:space="preserve">- 量化分析模块为服务流程提供决策依据</w:t>
      </w:r>
      <w:r>
        <w:t xml:space="preserve"> </w:t>
      </w:r>
      <w:r>
        <w:t xml:space="preserve">- 服务流程模块反馈执行数据完善客户档案</w:t>
      </w:r>
      <w:r>
        <w:t xml:space="preserve"> </w:t>
      </w:r>
      <w:r>
        <w:t xml:space="preserve">- 权限管理模块为所有业务模块提供安全保障</w:t>
      </w:r>
    </w:p>
    <w:p>
      <w:pPr>
        <w:pStyle w:val="a0"/>
      </w:pPr>
      <w:r>
        <w:t xml:space="preserve">模块间的松耦合设计支持功能的独立开发与部署，</w:t>
      </w:r>
      <w:r>
        <w:t xml:space="preserve"> </w:t>
      </w:r>
      <w:r>
        <w:t xml:space="preserve">通过统一的API网关管理跨模块的服务调用与数据流转。</w:t>
      </w:r>
    </w:p>
    <w:bookmarkEnd w:id="38"/>
    <w:bookmarkEnd w:id="39"/>
    <w:bookmarkStart w:id="44" w:name="核心数据流程"/>
    <w:p>
      <w:pPr>
        <w:pStyle w:val="3"/>
      </w:pPr>
      <w:r>
        <w:t xml:space="preserve">3.4 核心数据流程</w:t>
      </w:r>
    </w:p>
    <w:p>
      <w:pPr>
        <w:pStyle w:val="FirstParagraph"/>
      </w:pPr>
      <w:r>
        <w:t xml:space="preserve">系统数据流程围绕客户生命周期管理展开，</w:t>
      </w:r>
      <w:r>
        <w:t xml:space="preserve"> </w:t>
      </w:r>
      <w:r>
        <w:t xml:space="preserve">涵盖数据采集、处理、分析与应用的全过程。</w:t>
      </w:r>
    </w:p>
    <w:bookmarkStart w:id="40" w:name="数据输入流程"/>
    <w:p>
      <w:pPr>
        <w:pStyle w:val="4"/>
      </w:pPr>
      <w:r>
        <w:t xml:space="preserve">3.4.1 数据输入流程</w:t>
      </w:r>
    </w:p>
    <w:p>
      <w:pPr>
        <w:pStyle w:val="FirstParagraph"/>
      </w:pPr>
      <w:r>
        <w:t xml:space="preserve">客户数据通过多种渠道进入系统：</w:t>
      </w:r>
      <w:r>
        <w:t xml:space="preserve"> </w:t>
      </w:r>
      <w:r>
        <w:t xml:space="preserve">- 手动录入：通过客户档案界面逐条输入客户基本信息</w:t>
      </w:r>
      <w:r>
        <w:t xml:space="preserve"> </w:t>
      </w:r>
      <w:r>
        <w:t xml:space="preserve">- 批量导入：通过Excel模板批量导入客户历史数据</w:t>
      </w:r>
      <w:r>
        <w:t xml:space="preserve"> </w:t>
      </w:r>
      <w:r>
        <w:t xml:space="preserve">- 自动采集：系统自动记录客户交互与服务过程数据</w:t>
      </w:r>
      <w:r>
        <w:t xml:space="preserve"> </w:t>
      </w:r>
      <w:r>
        <w:t xml:space="preserve">- 外部集成：未来可扩展接入第三方数据源丰富客户画像</w:t>
      </w:r>
    </w:p>
    <w:p>
      <w:pPr>
        <w:pStyle w:val="a0"/>
      </w:pPr>
      <w:r>
        <w:t xml:space="preserve">输入数据经过格式验证与业务规则校验后，</w:t>
      </w:r>
      <w:r>
        <w:t xml:space="preserve"> </w:t>
      </w:r>
      <w:r>
        <w:t xml:space="preserve">存储至PostgreSQL数据库的相应业务表中。</w:t>
      </w:r>
      <w:r>
        <w:t xml:space="preserve"> </w:t>
      </w:r>
      <w:r>
        <w:t xml:space="preserve">系统对敏感数据进行加密处理并记录数据来源。</w:t>
      </w:r>
    </w:p>
    <w:bookmarkEnd w:id="40"/>
    <w:bookmarkStart w:id="41" w:name="数据处理流程"/>
    <w:p>
      <w:pPr>
        <w:pStyle w:val="4"/>
      </w:pPr>
      <w:r>
        <w:t xml:space="preserve">3.4.2 数据处理流程</w:t>
      </w:r>
    </w:p>
    <w:p>
      <w:pPr>
        <w:pStyle w:val="FirstParagraph"/>
      </w:pPr>
      <w:r>
        <w:t xml:space="preserve">系统对采集的原始数据进行多阶段处理：</w:t>
      </w:r>
      <w:r>
        <w:t xml:space="preserve"> </w:t>
      </w:r>
      <w:r>
        <w:t xml:space="preserve">-</w:t>
      </w:r>
      <w:r>
        <w:t xml:space="preserve"> </w:t>
      </w:r>
      <w:r>
        <w:rPr>
          <w:bCs/>
          <w:b/>
        </w:rPr>
        <w:t xml:space="preserve">数据清洗</w:t>
      </w:r>
      <w:r>
        <w:t xml:space="preserve">：去除重复记录、修正格式错误、补充缺失值</w:t>
      </w:r>
      <w:r>
        <w:t xml:space="preserve"> </w:t>
      </w:r>
      <w:r>
        <w:t xml:space="preserve">-</w:t>
      </w:r>
      <w:r>
        <w:t xml:space="preserve"> </w:t>
      </w:r>
      <w:r>
        <w:rPr>
          <w:bCs/>
          <w:b/>
        </w:rPr>
        <w:t xml:space="preserve">数据标准化</w:t>
      </w:r>
      <w:r>
        <w:t xml:space="preserve">：统一数据格式、单位与编码规范</w:t>
      </w:r>
      <w:r>
        <w:t xml:space="preserve"> </w:t>
      </w:r>
      <w:r>
        <w:t xml:space="preserve">-</w:t>
      </w:r>
      <w:r>
        <w:t xml:space="preserve"> </w:t>
      </w:r>
      <w:r>
        <w:rPr>
          <w:bCs/>
          <w:b/>
        </w:rPr>
        <w:t xml:space="preserve">数据增强</w:t>
      </w:r>
      <w:r>
        <w:t xml:space="preserve">：通过标签引擎自动生成客户特征标签</w:t>
      </w:r>
      <w:r>
        <w:t xml:space="preserve"> </w:t>
      </w:r>
      <w:r>
        <w:t xml:space="preserve">-</w:t>
      </w:r>
      <w:r>
        <w:t xml:space="preserve"> </w:t>
      </w:r>
      <w:r>
        <w:rPr>
          <w:bCs/>
          <w:b/>
        </w:rPr>
        <w:t xml:space="preserve">数据聚合</w:t>
      </w:r>
      <w:r>
        <w:t xml:space="preserve">：按时间维度聚合服务记录与交互数据</w:t>
      </w:r>
    </w:p>
    <w:p>
      <w:pPr>
        <w:pStyle w:val="a0"/>
      </w:pPr>
      <w:r>
        <w:t xml:space="preserve">清洗后的数据分别存储于业务主表与分析宽表中，</w:t>
      </w:r>
      <w:r>
        <w:t xml:space="preserve"> </w:t>
      </w:r>
      <w:r>
        <w:t xml:space="preserve">同时将热点数据缓存至Redis提升查询性能。</w:t>
      </w:r>
    </w:p>
    <w:bookmarkEnd w:id="41"/>
    <w:bookmarkStart w:id="42" w:name="量化分析流程"/>
    <w:p>
      <w:pPr>
        <w:pStyle w:val="4"/>
      </w:pPr>
      <w:r>
        <w:t xml:space="preserve">3.4.3 量化分析流程</w:t>
      </w:r>
    </w:p>
    <w:p>
      <w:pPr>
        <w:pStyle w:val="FirstParagraph"/>
      </w:pPr>
      <w:r>
        <w:t xml:space="preserve">量化分析模块按固定调度执行分析任务：</w:t>
      </w:r>
      <w:r>
        <w:t xml:space="preserve"> </w:t>
      </w:r>
      <w:r>
        <w:t xml:space="preserve">-</w:t>
      </w:r>
      <w:r>
        <w:t xml:space="preserve"> </w:t>
      </w:r>
      <w:r>
        <w:rPr>
          <w:bCs/>
          <w:b/>
        </w:rPr>
        <w:t xml:space="preserve">数据准备</w:t>
      </w:r>
      <w:r>
        <w:t xml:space="preserve">：从业务数据库抽取分析所需的基础数据</w:t>
      </w:r>
      <w:r>
        <w:t xml:space="preserve"> </w:t>
      </w:r>
      <w:r>
        <w:t xml:space="preserve">-</w:t>
      </w:r>
      <w:r>
        <w:t xml:space="preserve"> </w:t>
      </w:r>
      <w:r>
        <w:rPr>
          <w:bCs/>
          <w:b/>
        </w:rPr>
        <w:t xml:space="preserve">特征工程</w:t>
      </w:r>
      <w:r>
        <w:t xml:space="preserve">：构建客户价值、风险、需求等分析特征</w:t>
      </w:r>
      <w:r>
        <w:t xml:space="preserve"> </w:t>
      </w:r>
      <w:r>
        <w:t xml:space="preserve">-</w:t>
      </w:r>
      <w:r>
        <w:t xml:space="preserve"> </w:t>
      </w:r>
      <w:r>
        <w:rPr>
          <w:bCs/>
          <w:b/>
        </w:rPr>
        <w:t xml:space="preserve">模型计算</w:t>
      </w:r>
      <w:r>
        <w:t xml:space="preserve">：运行预设的量化分析模型生成初步结果</w:t>
      </w:r>
      <w:r>
        <w:t xml:space="preserve"> </w:t>
      </w:r>
      <w:r>
        <w:t xml:space="preserve">-</w:t>
      </w:r>
      <w:r>
        <w:t xml:space="preserve"> </w:t>
      </w:r>
      <w:r>
        <w:rPr>
          <w:bCs/>
          <w:b/>
        </w:rPr>
        <w:t xml:space="preserve">结果验证</w:t>
      </w:r>
      <w:r>
        <w:t xml:space="preserve">：对分析结果进行业务合理性检验与调整</w:t>
      </w:r>
      <w:r>
        <w:t xml:space="preserve"> </w:t>
      </w:r>
      <w:r>
        <w:t xml:space="preserve">-</w:t>
      </w:r>
      <w:r>
        <w:t xml:space="preserve"> </w:t>
      </w:r>
      <w:r>
        <w:rPr>
          <w:bCs/>
          <w:b/>
        </w:rPr>
        <w:t xml:space="preserve">报告生成</w:t>
      </w:r>
      <w:r>
        <w:t xml:space="preserve">：将验证后的分析结果格式化为可视化报告</w:t>
      </w:r>
    </w:p>
    <w:p>
      <w:pPr>
        <w:pStyle w:val="a0"/>
      </w:pPr>
      <w:r>
        <w:t xml:space="preserve">分析过程中间结果缓存于Redis避免重复计算，</w:t>
      </w:r>
      <w:r>
        <w:t xml:space="preserve"> </w:t>
      </w:r>
      <w:r>
        <w:t xml:space="preserve">最终分析报告存储至PostgreSQL供前端调用。</w:t>
      </w:r>
    </w:p>
    <w:bookmarkEnd w:id="42"/>
    <w:bookmarkStart w:id="43" w:name="数据输出流程"/>
    <w:p>
      <w:pPr>
        <w:pStyle w:val="4"/>
      </w:pPr>
      <w:r>
        <w:t xml:space="preserve">3.4.4 数据输出流程</w:t>
      </w:r>
    </w:p>
    <w:p>
      <w:pPr>
        <w:pStyle w:val="FirstParagraph"/>
      </w:pPr>
      <w:r>
        <w:t xml:space="preserve">处理后的数据通过多种形式服务业务需求：</w:t>
      </w:r>
      <w:r>
        <w:t xml:space="preserve"> </w:t>
      </w:r>
      <w:r>
        <w:t xml:space="preserve">-</w:t>
      </w:r>
      <w:r>
        <w:t xml:space="preserve"> </w:t>
      </w:r>
      <w:r>
        <w:rPr>
          <w:bCs/>
          <w:b/>
        </w:rPr>
        <w:t xml:space="preserve">界面展示</w:t>
      </w:r>
      <w:r>
        <w:t xml:space="preserve">：通过React组件在前端界面动态展示数据</w:t>
      </w:r>
      <w:r>
        <w:t xml:space="preserve"> </w:t>
      </w:r>
      <w:r>
        <w:t xml:space="preserve">-</w:t>
      </w:r>
      <w:r>
        <w:t xml:space="preserve"> </w:t>
      </w:r>
      <w:r>
        <w:rPr>
          <w:bCs/>
          <w:b/>
        </w:rPr>
        <w:t xml:space="preserve">报告导出</w:t>
      </w:r>
      <w:r>
        <w:t xml:space="preserve">：支持分析报告以PDF/Excel格式导出下载</w:t>
      </w:r>
      <w:r>
        <w:t xml:space="preserve"> </w:t>
      </w:r>
      <w:r>
        <w:t xml:space="preserve">-</w:t>
      </w:r>
      <w:r>
        <w:t xml:space="preserve"> </w:t>
      </w:r>
      <w:r>
        <w:rPr>
          <w:bCs/>
          <w:b/>
        </w:rPr>
        <w:t xml:space="preserve">消息推送</w:t>
      </w:r>
      <w:r>
        <w:t xml:space="preserve">：通过节点提醒机制主动推送关键信息</w:t>
      </w:r>
      <w:r>
        <w:t xml:space="preserve"> </w:t>
      </w:r>
      <w:r>
        <w:t xml:space="preserve">-</w:t>
      </w:r>
      <w:r>
        <w:t xml:space="preserve"> </w:t>
      </w:r>
      <w:r>
        <w:rPr>
          <w:bCs/>
          <w:b/>
        </w:rPr>
        <w:t xml:space="preserve">API服务</w:t>
      </w:r>
      <w:r>
        <w:t xml:space="preserve">：为未来系统集成提供标准数据接口</w:t>
      </w:r>
    </w:p>
    <w:p>
      <w:pPr>
        <w:pStyle w:val="a0"/>
      </w:pPr>
      <w:r>
        <w:t xml:space="preserve">所有数据输出均经过权限校验，确保用户只能访问授权数据。</w:t>
      </w:r>
      <w:r>
        <w:t xml:space="preserve"> </w:t>
      </w:r>
      <w:r>
        <w:t xml:space="preserve">系统完整记录数据访问日志，满足审计与合规要求。</w:t>
      </w:r>
    </w:p>
    <w:bookmarkEnd w:id="43"/>
    <w:bookmarkEnd w:id="44"/>
    <w:bookmarkEnd w:id="45"/>
    <w:bookmarkStart w:id="59" w:name="四功能说明"/>
    <w:p>
      <w:pPr>
        <w:pStyle w:val="20"/>
      </w:pPr>
      <w:r>
        <w:t xml:space="preserve">四、功能说明</w:t>
      </w:r>
    </w:p>
    <w:bookmarkStart w:id="50" w:name="核心功能模块说明"/>
    <w:p>
      <w:pPr>
        <w:pStyle w:val="3"/>
      </w:pPr>
      <w:r>
        <w:t xml:space="preserve">4.1 核心功能模块说明</w:t>
      </w:r>
    </w:p>
    <w:bookmarkStart w:id="46" w:name="客户数据管理模块"/>
    <w:p>
      <w:pPr>
        <w:pStyle w:val="4"/>
      </w:pPr>
      <w:r>
        <w:t xml:space="preserve">4.1.1 客户数据管理模块</w:t>
      </w:r>
    </w:p>
    <w:p>
      <w:pPr>
        <w:pStyle w:val="FirstParagraph"/>
      </w:pPr>
      <w:r>
        <w:t xml:space="preserve">客户数据管理模块是系统的核心数据枢纽，负责整合与维护所有客户相关数据。</w:t>
      </w:r>
      <w:r>
        <w:t xml:space="preserve"> </w:t>
      </w:r>
      <w:r>
        <w:t xml:space="preserve">其主要功能是建立动态更新的客户档案，整合客户基本信息、历史咨询记录、</w:t>
      </w:r>
      <w:r>
        <w:t xml:space="preserve"> </w:t>
      </w:r>
      <w:r>
        <w:t xml:space="preserve">以及通过交互分析得出的需求偏好。</w:t>
      </w:r>
    </w:p>
    <w:p>
      <w:pPr>
        <w:pStyle w:val="a0"/>
      </w:pPr>
      <w:r>
        <w:t xml:space="preserve">处理逻辑由客户信息的创建或更新事件触发，输入为客户填写的表单数据或导入的批量数据。</w:t>
      </w:r>
      <w:r>
        <w:t xml:space="preserve"> </w:t>
      </w:r>
      <w:r>
        <w:t xml:space="preserve">系统将按照预设的业务规则进行数据清洗与标准化处理，</w:t>
      </w:r>
      <w:r>
        <w:t xml:space="preserve"> </w:t>
      </w:r>
      <w:r>
        <w:t xml:space="preserve">输出为结构完整、关联清晰的客户档案。该模块严格遵循咨询行业数据规范，</w:t>
      </w:r>
      <w:r>
        <w:t xml:space="preserve"> </w:t>
      </w:r>
      <w:r>
        <w:t xml:space="preserve">确保客户信息的准确性与一致性。</w:t>
      </w:r>
    </w:p>
    <w:p>
      <w:pPr>
        <w:pStyle w:val="a0"/>
      </w:pPr>
      <w:r>
        <w:t xml:space="preserve">此模块与“客户标签管理”、</w:t>
      </w:r>
      <w:r>
        <w:t xml:space="preserve">“</w:t>
      </w:r>
      <w:r>
        <w:t xml:space="preserve">量化分析</w:t>
      </w:r>
      <w:r>
        <w:t xml:space="preserve">”</w:t>
      </w:r>
      <w:r>
        <w:t xml:space="preserve">及“服务流程”模块存在紧密依赖关系。</w:t>
      </w:r>
      <w:r>
        <w:t xml:space="preserve"> </w:t>
      </w:r>
      <w:r>
        <w:t xml:space="preserve">它为量化分析提供原始数据输入，同时接收服务流程模块更新的交互记录，</w:t>
      </w:r>
      <w:r>
        <w:t xml:space="preserve"> </w:t>
      </w:r>
      <w:r>
        <w:t xml:space="preserve">以持续丰富客户档案内容。</w:t>
      </w:r>
    </w:p>
    <w:bookmarkEnd w:id="46"/>
    <w:bookmarkStart w:id="47" w:name="量化分析工具模块"/>
    <w:p>
      <w:pPr>
        <w:pStyle w:val="4"/>
      </w:pPr>
      <w:r>
        <w:t xml:space="preserve">4.1.2 量化分析工具模块</w:t>
      </w:r>
    </w:p>
    <w:p>
      <w:pPr>
        <w:pStyle w:val="FirstParagraph"/>
      </w:pPr>
      <w:r>
        <w:t xml:space="preserve">量化分析工具模块是系统的智能分析核心，通过嵌入专业数据模型实现自动化客户评估。</w:t>
      </w:r>
      <w:r>
        <w:t xml:space="preserve"> </w:t>
      </w:r>
      <w:r>
        <w:t xml:space="preserve">其核心功能是自动分析客户价值、评定风险等级、预测潜在需求，</w:t>
      </w:r>
      <w:r>
        <w:t xml:space="preserve"> </w:t>
      </w:r>
      <w:r>
        <w:t xml:space="preserve">并生成可视化的分析报告。</w:t>
      </w:r>
    </w:p>
    <w:p>
      <w:pPr>
        <w:pStyle w:val="a0"/>
      </w:pPr>
      <w:r>
        <w:t xml:space="preserve">处理逻辑由新客户数据录入、周期性评估任务或手动分析请求触发。</w:t>
      </w:r>
      <w:r>
        <w:t xml:space="preserve"> </w:t>
      </w:r>
      <w:r>
        <w:t xml:space="preserve">输入为来自客户数据管理模块的结构化数据，系统调用内置的量化模型进行计算。</w:t>
      </w:r>
      <w:r>
        <w:t xml:space="preserve"> </w:t>
      </w:r>
      <w:r>
        <w:t xml:space="preserve">输出包括客户价值评分、风险等级标签、需求预测列表及图文并茂的分析报告。</w:t>
      </w:r>
      <w:r>
        <w:t xml:space="preserve"> </w:t>
      </w:r>
      <w:r>
        <w:t xml:space="preserve">所有分析过程遵循严谨的金融分析业务规则与算法模型。</w:t>
      </w:r>
    </w:p>
    <w:p>
      <w:pPr>
        <w:pStyle w:val="a0"/>
      </w:pPr>
      <w:r>
        <w:t xml:space="preserve">该模块深度依赖于“客户数据管理”模块提供的基础数据，</w:t>
      </w:r>
      <w:r>
        <w:t xml:space="preserve"> </w:t>
      </w:r>
      <w:r>
        <w:t xml:space="preserve">其生成的分析报告将直接反馈至客户档案中。</w:t>
      </w:r>
      <w:r>
        <w:t xml:space="preserve"> </w:t>
      </w:r>
      <w:r>
        <w:t xml:space="preserve">同时，分析结果为“服务流程”模块的项目优先级设定提供关键决策依据。</w:t>
      </w:r>
    </w:p>
    <w:bookmarkEnd w:id="47"/>
    <w:bookmarkStart w:id="48" w:name="服务流程追踪模块"/>
    <w:p>
      <w:pPr>
        <w:pStyle w:val="4"/>
      </w:pPr>
      <w:r>
        <w:t xml:space="preserve">4.1.3 服务流程追踪模块</w:t>
      </w:r>
    </w:p>
    <w:p>
      <w:pPr>
        <w:pStyle w:val="FirstParagraph"/>
      </w:pPr>
      <w:r>
        <w:t xml:space="preserve">服务流程追踪模块负责监控和管理咨询项目的全生命周期。</w:t>
      </w:r>
      <w:r>
        <w:t xml:space="preserve"> </w:t>
      </w:r>
      <w:r>
        <w:t xml:space="preserve">其主要功能是实时跟进项目进度、设置关键节点提醒、记录服务交互，</w:t>
      </w:r>
      <w:r>
        <w:t xml:space="preserve"> </w:t>
      </w:r>
      <w:r>
        <w:t xml:space="preserve">确保咨询服务的高效响应与标准化执行。</w:t>
      </w:r>
    </w:p>
    <w:p>
      <w:pPr>
        <w:pStyle w:val="a0"/>
      </w:pPr>
      <w:r>
        <w:t xml:space="preserve">处理逻辑由新项目创建或项目状态变更事件触发。</w:t>
      </w:r>
      <w:r>
        <w:t xml:space="preserve"> </w:t>
      </w:r>
      <w:r>
        <w:t xml:space="preserve">输入为项目基本信息、服务节点计划及实际进展数据。</w:t>
      </w:r>
      <w:r>
        <w:t xml:space="preserve"> </w:t>
      </w:r>
      <w:r>
        <w:t xml:space="preserve">系统根据预设业务流程规则自动推进状态，输出实时的项目进度看板、</w:t>
      </w:r>
      <w:r>
        <w:t xml:space="preserve"> </w:t>
      </w:r>
      <w:r>
        <w:t xml:space="preserve">待办提醒通知及完整的服务记录。此模块严格遵循咨询项目管理方法论，</w:t>
      </w:r>
      <w:r>
        <w:t xml:space="preserve"> </w:t>
      </w:r>
      <w:r>
        <w:t xml:space="preserve">确保每个服务环节可追踪、可度量。</w:t>
      </w:r>
    </w:p>
    <w:p>
      <w:pPr>
        <w:pStyle w:val="a0"/>
      </w:pPr>
      <w:r>
        <w:t xml:space="preserve">该模块与“客户数据管理”和“量化分析”模块紧密关联。</w:t>
      </w:r>
      <w:r>
        <w:t xml:space="preserve"> </w:t>
      </w:r>
      <w:r>
        <w:t xml:space="preserve">它从客户档案中获取项目背景信息，并利用量化分析结果辅助制定服务策略。</w:t>
      </w:r>
      <w:r>
        <w:t xml:space="preserve"> </w:t>
      </w:r>
      <w:r>
        <w:t xml:space="preserve">同时，其生成的服务记录会实时回写至客户档案，形成数据闭环。</w:t>
      </w:r>
    </w:p>
    <w:bookmarkEnd w:id="48"/>
    <w:bookmarkStart w:id="49" w:name="数据安全与权限模块"/>
    <w:p>
      <w:pPr>
        <w:pStyle w:val="4"/>
      </w:pPr>
      <w:r>
        <w:t xml:space="preserve">4.1.4 数据安全与权限模块</w:t>
      </w:r>
    </w:p>
    <w:p>
      <w:pPr>
        <w:pStyle w:val="FirstParagraph"/>
      </w:pPr>
      <w:r>
        <w:t xml:space="preserve">数据安全与权限模块是系统的安全保障基石，实现精细化的数据访问控制。</w:t>
      </w:r>
      <w:r>
        <w:t xml:space="preserve"> </w:t>
      </w:r>
      <w:r>
        <w:t xml:space="preserve">其主要功能包括用户身份认证、分级数据权限管控、操作行为审计，</w:t>
      </w:r>
      <w:r>
        <w:t xml:space="preserve"> </w:t>
      </w:r>
      <w:r>
        <w:t xml:space="preserve">确保敏感客户信息的安全性与合规性。</w:t>
      </w:r>
    </w:p>
    <w:p>
      <w:pPr>
        <w:pStyle w:val="a0"/>
      </w:pPr>
      <w:r>
        <w:t xml:space="preserve">处理逻辑由用户登录请求或数据访问操作触发。</w:t>
      </w:r>
      <w:r>
        <w:t xml:space="preserve"> </w:t>
      </w:r>
      <w:r>
        <w:t xml:space="preserve">输入为用户凭证和访问上下文信息，系统基于角色权限规则进行鉴权决策。</w:t>
      </w:r>
      <w:r>
        <w:t xml:space="preserve"> </w:t>
      </w:r>
      <w:r>
        <w:t xml:space="preserve">输出为访问授权结果、操作审计日志及安全告警通知。</w:t>
      </w:r>
      <w:r>
        <w:t xml:space="preserve"> </w:t>
      </w:r>
      <w:r>
        <w:t xml:space="preserve">该模块严格遵循最小权限原则和数据分级保护策略。</w:t>
      </w:r>
    </w:p>
    <w:p>
      <w:pPr>
        <w:pStyle w:val="a0"/>
      </w:pPr>
      <w:r>
        <w:t xml:space="preserve">此模块为系统所有功能模块提供基础安全支撑，</w:t>
      </w:r>
      <w:r>
        <w:t xml:space="preserve"> </w:t>
      </w:r>
      <w:r>
        <w:t xml:space="preserve">与“用户权限管理”和“安全日志”模块形成完整的安全管理体系。</w:t>
      </w:r>
      <w:r>
        <w:t xml:space="preserve"> </w:t>
      </w:r>
      <w:r>
        <w:t xml:space="preserve">所有业务操作均需通过此模块的权限验证，确保系统整体安全性。</w:t>
      </w:r>
    </w:p>
    <w:bookmarkEnd w:id="49"/>
    <w:bookmarkEnd w:id="50"/>
    <w:bookmarkStart w:id="55" w:name="子功能清单梳理"/>
    <w:p>
      <w:pPr>
        <w:pStyle w:val="3"/>
      </w:pPr>
      <w:r>
        <w:t xml:space="preserve">4.2 子功能清单梳理</w:t>
      </w:r>
    </w:p>
    <w:bookmarkStart w:id="51" w:name="客户管理类功能"/>
    <w:p>
      <w:pPr>
        <w:pStyle w:val="4"/>
      </w:pPr>
      <w:r>
        <w:t xml:space="preserve">4.2.1 客户管理类功能</w:t>
      </w:r>
    </w:p>
    <w:p>
      <w:pPr>
        <w:numPr>
          <w:ilvl w:val="0"/>
          <w:numId w:val="1003"/>
        </w:numPr>
        <w:pStyle w:val="Compact"/>
      </w:pPr>
      <w:r>
        <w:t xml:space="preserve">客户列表：提供客户信息的集中展示与查询界面，支持多条件筛选和快速搜索</w:t>
      </w:r>
    </w:p>
    <w:p>
      <w:pPr>
        <w:numPr>
          <w:ilvl w:val="0"/>
          <w:numId w:val="1003"/>
        </w:numPr>
        <w:pStyle w:val="Compact"/>
      </w:pPr>
      <w:r>
        <w:t xml:space="preserve">客户档案：详细展示单个客户全维度信息，包括基本资料、交互历史和评估结果</w:t>
      </w:r>
    </w:p>
    <w:p>
      <w:pPr>
        <w:numPr>
          <w:ilvl w:val="0"/>
          <w:numId w:val="1003"/>
        </w:numPr>
        <w:pStyle w:val="Compact"/>
      </w:pPr>
      <w:r>
        <w:t xml:space="preserve">客户导入：支持通过Excel模板批量导入客户数据，自动校验数据格式与完整性</w:t>
      </w:r>
    </w:p>
    <w:p>
      <w:pPr>
        <w:numPr>
          <w:ilvl w:val="0"/>
          <w:numId w:val="1003"/>
        </w:numPr>
        <w:pStyle w:val="Compact"/>
      </w:pPr>
      <w:r>
        <w:t xml:space="preserve">客户标签：允许为用户打上自定义标签，便于分类管理和精准营销，标签数量上限为20个</w:t>
      </w:r>
    </w:p>
    <w:bookmarkEnd w:id="51"/>
    <w:bookmarkStart w:id="52" w:name="量化分析类功能"/>
    <w:p>
      <w:pPr>
        <w:pStyle w:val="4"/>
      </w:pPr>
      <w:r>
        <w:t xml:space="preserve">4.2.2 量化分析类功能</w:t>
      </w:r>
    </w:p>
    <w:p>
      <w:pPr>
        <w:numPr>
          <w:ilvl w:val="0"/>
          <w:numId w:val="1004"/>
        </w:numPr>
        <w:pStyle w:val="Compact"/>
      </w:pPr>
      <w:r>
        <w:t xml:space="preserve">客户价值分析：基于消费能力、合作潜力和忠诚度等多维度指标评估客户价值</w:t>
      </w:r>
    </w:p>
    <w:p>
      <w:pPr>
        <w:numPr>
          <w:ilvl w:val="0"/>
          <w:numId w:val="1004"/>
        </w:numPr>
        <w:pStyle w:val="Compact"/>
      </w:pPr>
      <w:r>
        <w:t xml:space="preserve">风险评估：运用风险模型识别客户信用风险和合作风险，输出风险等级</w:t>
      </w:r>
    </w:p>
    <w:p>
      <w:pPr>
        <w:numPr>
          <w:ilvl w:val="0"/>
          <w:numId w:val="1004"/>
        </w:numPr>
        <w:pStyle w:val="Compact"/>
      </w:pPr>
      <w:r>
        <w:t xml:space="preserve">需求预测：通过行为分析预测客户未来可能的需求方向，为精准服务提供依据</w:t>
      </w:r>
    </w:p>
    <w:p>
      <w:pPr>
        <w:numPr>
          <w:ilvl w:val="0"/>
          <w:numId w:val="1004"/>
        </w:numPr>
        <w:pStyle w:val="Compact"/>
      </w:pPr>
      <w:r>
        <w:t xml:space="preserve">分析报告：自动生成包含图表和关键指标的可视化分析报告，支持PDF导出</w:t>
      </w:r>
    </w:p>
    <w:bookmarkEnd w:id="52"/>
    <w:bookmarkStart w:id="53" w:name="服务流程类功能"/>
    <w:p>
      <w:pPr>
        <w:pStyle w:val="4"/>
      </w:pPr>
      <w:r>
        <w:t xml:space="preserve">4.2.3 服务流程类功能</w:t>
      </w:r>
    </w:p>
    <w:p>
      <w:pPr>
        <w:numPr>
          <w:ilvl w:val="0"/>
          <w:numId w:val="1005"/>
        </w:numPr>
        <w:pStyle w:val="Compact"/>
      </w:pPr>
      <w:r>
        <w:t xml:space="preserve">项目管理：创建和管理咨询项目，设定项目阶段、负责人和交付物要求</w:t>
      </w:r>
    </w:p>
    <w:p>
      <w:pPr>
        <w:numPr>
          <w:ilvl w:val="0"/>
          <w:numId w:val="1005"/>
        </w:numPr>
        <w:pStyle w:val="Compact"/>
      </w:pPr>
      <w:r>
        <w:t xml:space="preserve">流程跟踪：实时监控项目进展，自动标识延迟风险和执行偏差</w:t>
      </w:r>
    </w:p>
    <w:p>
      <w:pPr>
        <w:numPr>
          <w:ilvl w:val="0"/>
          <w:numId w:val="1005"/>
        </w:numPr>
        <w:pStyle w:val="Compact"/>
      </w:pPr>
      <w:r>
        <w:t xml:space="preserve">节点提醒：在关键节点自动发送提醒通知，确保项目按时推进</w:t>
      </w:r>
    </w:p>
    <w:p>
      <w:pPr>
        <w:numPr>
          <w:ilvl w:val="0"/>
          <w:numId w:val="1005"/>
        </w:numPr>
        <w:pStyle w:val="Compact"/>
      </w:pPr>
      <w:r>
        <w:t xml:space="preserve">服务记录：详细记录每次客户服务的內容、结果和后续跟进事项</w:t>
      </w:r>
    </w:p>
    <w:bookmarkEnd w:id="53"/>
    <w:bookmarkStart w:id="54" w:name="系统管理类功能"/>
    <w:p>
      <w:pPr>
        <w:pStyle w:val="4"/>
      </w:pPr>
      <w:r>
        <w:t xml:space="preserve">4.2.4 系统管理类功能</w:t>
      </w:r>
    </w:p>
    <w:p>
      <w:pPr>
        <w:numPr>
          <w:ilvl w:val="0"/>
          <w:numId w:val="1006"/>
        </w:numPr>
        <w:pStyle w:val="Compact"/>
      </w:pPr>
      <w:r>
        <w:t xml:space="preserve">权限管理：配置用户数据访问和功能操作权限，支持按角色批量授权</w:t>
      </w:r>
    </w:p>
    <w:p>
      <w:pPr>
        <w:numPr>
          <w:ilvl w:val="0"/>
          <w:numId w:val="1006"/>
        </w:numPr>
        <w:pStyle w:val="Compact"/>
      </w:pPr>
      <w:r>
        <w:t xml:space="preserve">数据分级：定义数据敏感级别，建立不同级别数据的访问控制策略</w:t>
      </w:r>
    </w:p>
    <w:p>
      <w:pPr>
        <w:numPr>
          <w:ilvl w:val="0"/>
          <w:numId w:val="1006"/>
        </w:numPr>
        <w:pStyle w:val="Compact"/>
      </w:pPr>
      <w:r>
        <w:t xml:space="preserve">用户管理：管理系统用户账户信息，支持启用、禁用和密码重置操作</w:t>
      </w:r>
    </w:p>
    <w:p>
      <w:pPr>
        <w:numPr>
          <w:ilvl w:val="0"/>
          <w:numId w:val="1006"/>
        </w:numPr>
        <w:pStyle w:val="Compact"/>
      </w:pPr>
      <w:r>
        <w:t xml:space="preserve">角色管理：创建和维护系统角色，定义角色权限范围和功能菜单访问权</w:t>
      </w:r>
    </w:p>
    <w:bookmarkEnd w:id="54"/>
    <w:bookmarkEnd w:id="55"/>
    <w:bookmarkStart w:id="58" w:name="功能约束与边界界定"/>
    <w:p>
      <w:pPr>
        <w:pStyle w:val="3"/>
      </w:pPr>
      <w:r>
        <w:t xml:space="preserve">4.3 功能约束与边界界定</w:t>
      </w:r>
    </w:p>
    <w:bookmarkStart w:id="56" w:name="系统处理能力范围"/>
    <w:p>
      <w:pPr>
        <w:pStyle w:val="4"/>
      </w:pPr>
      <w:r>
        <w:t xml:space="preserve">4.3.1 系统处理能力范围</w:t>
      </w:r>
    </w:p>
    <w:p>
      <w:pPr>
        <w:pStyle w:val="FirstParagraph"/>
      </w:pPr>
      <w:r>
        <w:t xml:space="preserve">系统设计处理能力上限为同时管理5万名客户档案和2000个并发咨询项目。</w:t>
      </w:r>
      <w:r>
        <w:t xml:space="preserve"> </w:t>
      </w:r>
      <w:r>
        <w:t xml:space="preserve">在标准硬件配置下，客户数据查询响应时间不超过3秒，</w:t>
      </w:r>
      <w:r>
        <w:t xml:space="preserve"> </w:t>
      </w:r>
      <w:r>
        <w:t xml:space="preserve">批量数据导入处理速度不低于1000条/分钟。</w:t>
      </w:r>
      <w:r>
        <w:t xml:space="preserve"> </w:t>
      </w:r>
      <w:r>
        <w:t xml:space="preserve">量化分析模型计算单个客户完整评估的时间控制在30秒以内，</w:t>
      </w:r>
      <w:r>
        <w:t xml:space="preserve"> </w:t>
      </w:r>
      <w:r>
        <w:t xml:space="preserve">可视化报告生成时间不超过1分钟。</w:t>
      </w:r>
    </w:p>
    <w:p>
      <w:pPr>
        <w:pStyle w:val="a0"/>
      </w:pPr>
      <w:r>
        <w:t xml:space="preserve">系统支持单次导出数据量上限为1万条记录，</w:t>
      </w:r>
      <w:r>
        <w:t xml:space="preserve"> </w:t>
      </w:r>
      <w:r>
        <w:t xml:space="preserve">超过此限制需采用分批次导出操作。</w:t>
      </w:r>
      <w:r>
        <w:t xml:space="preserve"> </w:t>
      </w:r>
      <w:r>
        <w:t xml:space="preserve">客户文件附件存储总容量限制为100GB，</w:t>
      </w:r>
      <w:r>
        <w:t xml:space="preserve"> </w:t>
      </w:r>
      <w:r>
        <w:t xml:space="preserve">单个文件大小不得超过50MB。</w:t>
      </w:r>
    </w:p>
    <w:bookmarkEnd w:id="56"/>
    <w:bookmarkStart w:id="57" w:name="不支持的功能场景"/>
    <w:p>
      <w:pPr>
        <w:pStyle w:val="4"/>
      </w:pPr>
      <w:r>
        <w:t xml:space="preserve">4.3.2 不支持的功能场景</w:t>
      </w:r>
    </w:p>
    <w:p>
      <w:pPr>
        <w:pStyle w:val="FirstParagraph"/>
      </w:pPr>
      <w:r>
        <w:t xml:space="preserve">系统不支持非结构化数据的智能语义分析功能，</w:t>
      </w:r>
      <w:r>
        <w:t xml:space="preserve"> </w:t>
      </w:r>
      <w:r>
        <w:t xml:space="preserve">无法自动理解客户自由文本反馈的情感倾向和深层含义。</w:t>
      </w:r>
      <w:r>
        <w:t xml:space="preserve"> </w:t>
      </w:r>
      <w:r>
        <w:t xml:space="preserve">量化分析模块仅提供基于历史数据和预设模型的预测，</w:t>
      </w:r>
      <w:r>
        <w:t xml:space="preserve"> </w:t>
      </w:r>
      <w:r>
        <w:t xml:space="preserve">不具备自我学习和模型自动优化的机器学习能力。</w:t>
      </w:r>
    </w:p>
    <w:p>
      <w:pPr>
        <w:pStyle w:val="a0"/>
      </w:pPr>
      <w:r>
        <w:t xml:space="preserve">系统不提供跨组织的客户数据共享和交换功能，</w:t>
      </w:r>
      <w:r>
        <w:t xml:space="preserve"> </w:t>
      </w:r>
      <w:r>
        <w:t xml:space="preserve">各咨询机构的数据完全隔离。移动端仅支持信息查看和简单操作，</w:t>
      </w:r>
      <w:r>
        <w:t xml:space="preserve"> </w:t>
      </w:r>
      <w:r>
        <w:t xml:space="preserve">复杂的数据分析和报告生成功能需在桌面端完成。</w:t>
      </w:r>
    </w:p>
    <w:p>
      <w:pPr>
        <w:pStyle w:val="a0"/>
      </w:pPr>
      <w:r>
        <w:t xml:space="preserve">系统不支持实时语音和视频通信集成，</w:t>
      </w:r>
      <w:r>
        <w:t xml:space="preserve"> </w:t>
      </w:r>
      <w:r>
        <w:t xml:space="preserve">客户沟通记录需手动录入或通过文件附件形式保存。</w:t>
      </w:r>
      <w:r>
        <w:t xml:space="preserve"> </w:t>
      </w:r>
      <w:r>
        <w:t xml:space="preserve">与第三方财务系统、OA系统的集成需要定制开发，</w:t>
      </w:r>
      <w:r>
        <w:t xml:space="preserve"> </w:t>
      </w:r>
      <w:r>
        <w:t xml:space="preserve">不在标准产品功能范围内。</w:t>
      </w:r>
    </w:p>
    <w:bookmarkEnd w:id="57"/>
    <w:bookmarkEnd w:id="58"/>
    <w:bookmarkEnd w:id="59"/>
    <w:bookmarkStart w:id="69" w:name="五系统部署"/>
    <w:p>
      <w:pPr>
        <w:pStyle w:val="20"/>
      </w:pPr>
      <w:r>
        <w:t xml:space="preserve">五、系统部署</w:t>
      </w:r>
    </w:p>
    <w:bookmarkStart w:id="62" w:name="环境要求分析"/>
    <w:p>
      <w:pPr>
        <w:pStyle w:val="3"/>
      </w:pPr>
      <w:r>
        <w:t xml:space="preserve">5.1 环境要求分析</w:t>
      </w:r>
    </w:p>
    <w:bookmarkStart w:id="60" w:name="硬件配置分析"/>
    <w:p>
      <w:pPr>
        <w:pStyle w:val="4"/>
      </w:pPr>
      <w:r>
        <w:t xml:space="preserve">5.1.1 硬件配置分析</w:t>
      </w:r>
    </w:p>
    <w:p>
      <w:pPr>
        <w:numPr>
          <w:ilvl w:val="0"/>
          <w:numId w:val="1007"/>
        </w:numPr>
        <w:pStyle w:val="Compact"/>
      </w:pPr>
      <w:r>
        <w:rPr>
          <w:bCs/>
          <w:b/>
        </w:rPr>
        <w:t xml:space="preserve">CPU配置要求</w:t>
      </w:r>
    </w:p>
    <w:p>
      <w:pPr>
        <w:numPr>
          <w:ilvl w:val="1"/>
          <w:numId w:val="1008"/>
        </w:numPr>
        <w:pStyle w:val="Compact"/>
      </w:pPr>
      <w:r>
        <w:t xml:space="preserve">推荐采用Intel Core i5及以上处理器，4核心以上配置</w:t>
      </w:r>
    </w:p>
    <w:p>
      <w:pPr>
        <w:numPr>
          <w:ilvl w:val="1"/>
          <w:numId w:val="1008"/>
        </w:numPr>
        <w:pStyle w:val="Compact"/>
      </w:pPr>
      <w:r>
        <w:t xml:space="preserve">主频范围建议2.4GHz-3.0GHz，确保量化分析计算效率</w:t>
      </w:r>
    </w:p>
    <w:p>
      <w:pPr>
        <w:numPr>
          <w:ilvl w:val="1"/>
          <w:numId w:val="1008"/>
        </w:numPr>
        <w:pStyle w:val="Compact"/>
      </w:pPr>
      <w:r>
        <w:t xml:space="preserve">多核心架构支持并发数据处理和实时分析任务</w:t>
      </w:r>
    </w:p>
    <w:p>
      <w:pPr>
        <w:numPr>
          <w:ilvl w:val="0"/>
          <w:numId w:val="1007"/>
        </w:numPr>
        <w:pStyle w:val="Compact"/>
      </w:pPr>
      <w:r>
        <w:rPr>
          <w:bCs/>
          <w:b/>
        </w:rPr>
        <w:t xml:space="preserve">内存容量规划</w:t>
      </w:r>
    </w:p>
    <w:p>
      <w:pPr>
        <w:numPr>
          <w:ilvl w:val="1"/>
          <w:numId w:val="1009"/>
        </w:numPr>
        <w:pStyle w:val="Compact"/>
      </w:pPr>
      <w:r>
        <w:t xml:space="preserve">最小配置8GB，推荐16GB内存容量</w:t>
      </w:r>
    </w:p>
    <w:p>
      <w:pPr>
        <w:numPr>
          <w:ilvl w:val="1"/>
          <w:numId w:val="1009"/>
        </w:numPr>
        <w:pStyle w:val="Compact"/>
      </w:pPr>
      <w:r>
        <w:t xml:space="preserve">内存主要用于客户数据缓存和量化模型运算</w:t>
      </w:r>
    </w:p>
    <w:p>
      <w:pPr>
        <w:numPr>
          <w:ilvl w:val="1"/>
          <w:numId w:val="1009"/>
        </w:numPr>
        <w:pStyle w:val="Compact"/>
      </w:pPr>
      <w:r>
        <w:t xml:space="preserve">支持大规模客户档案的快速检索和分析处理</w:t>
      </w:r>
    </w:p>
    <w:p>
      <w:pPr>
        <w:numPr>
          <w:ilvl w:val="0"/>
          <w:numId w:val="1007"/>
        </w:numPr>
        <w:pStyle w:val="Compact"/>
      </w:pPr>
      <w:r>
        <w:rPr>
          <w:bCs/>
          <w:b/>
        </w:rPr>
        <w:t xml:space="preserve">存储系统设计</w:t>
      </w:r>
    </w:p>
    <w:p>
      <w:pPr>
        <w:numPr>
          <w:ilvl w:val="1"/>
          <w:numId w:val="1010"/>
        </w:numPr>
        <w:pStyle w:val="Compact"/>
      </w:pPr>
      <w:r>
        <w:t xml:space="preserve">基础配置256GB SSD存储空间</w:t>
      </w:r>
    </w:p>
    <w:p>
      <w:pPr>
        <w:numPr>
          <w:ilvl w:val="1"/>
          <w:numId w:val="1010"/>
        </w:numPr>
        <w:pStyle w:val="Compact"/>
      </w:pPr>
      <w:r>
        <w:t xml:space="preserve">SSD确保数据库读写性能和系统响应速度</w:t>
      </w:r>
    </w:p>
    <w:p>
      <w:pPr>
        <w:numPr>
          <w:ilvl w:val="1"/>
          <w:numId w:val="1010"/>
        </w:numPr>
        <w:pStyle w:val="Compact"/>
      </w:pPr>
      <w:r>
        <w:t xml:space="preserve">预留50%空间用于数据备份和系统日志存储</w:t>
      </w:r>
    </w:p>
    <w:bookmarkEnd w:id="60"/>
    <w:bookmarkStart w:id="61" w:name="软件依赖分析"/>
    <w:p>
      <w:pPr>
        <w:pStyle w:val="4"/>
      </w:pPr>
      <w:r>
        <w:t xml:space="preserve">5.1.2 软件依赖分析</w:t>
      </w:r>
    </w:p>
    <w:p>
      <w:pPr>
        <w:numPr>
          <w:ilvl w:val="0"/>
          <w:numId w:val="1011"/>
        </w:numPr>
        <w:pStyle w:val="Compact"/>
      </w:pPr>
      <w:r>
        <w:rPr>
          <w:bCs/>
          <w:b/>
        </w:rPr>
        <w:t xml:space="preserve">操作系统要求</w:t>
      </w:r>
    </w:p>
    <w:p>
      <w:pPr>
        <w:numPr>
          <w:ilvl w:val="1"/>
          <w:numId w:val="1012"/>
        </w:numPr>
        <w:pStyle w:val="Compact"/>
      </w:pPr>
      <w:r>
        <w:t xml:space="preserve">Ubuntu Server 22.04 LTS Linux操作系统</w:t>
      </w:r>
    </w:p>
    <w:p>
      <w:pPr>
        <w:numPr>
          <w:ilvl w:val="1"/>
          <w:numId w:val="1012"/>
        </w:numPr>
        <w:pStyle w:val="Compact"/>
      </w:pPr>
      <w:r>
        <w:t xml:space="preserve">该版本提供长期安全更新和稳定内核支持</w:t>
      </w:r>
    </w:p>
    <w:p>
      <w:pPr>
        <w:numPr>
          <w:ilvl w:val="1"/>
          <w:numId w:val="1012"/>
        </w:numPr>
        <w:pStyle w:val="Compact"/>
      </w:pPr>
      <w:r>
        <w:t xml:space="preserve">优化了Java运行环境和数据库性能表现</w:t>
      </w:r>
    </w:p>
    <w:p>
      <w:pPr>
        <w:numPr>
          <w:ilvl w:val="0"/>
          <w:numId w:val="1011"/>
        </w:numPr>
        <w:pStyle w:val="Compact"/>
      </w:pPr>
      <w:r>
        <w:rPr>
          <w:bCs/>
          <w:b/>
        </w:rPr>
        <w:t xml:space="preserve">中间件配置</w:t>
      </w:r>
    </w:p>
    <w:p>
      <w:pPr>
        <w:numPr>
          <w:ilvl w:val="1"/>
          <w:numId w:val="1013"/>
        </w:numPr>
        <w:pStyle w:val="Compact"/>
      </w:pPr>
      <w:r>
        <w:t xml:space="preserve">Nginx 1.18作为反向代理和负载均衡器</w:t>
      </w:r>
    </w:p>
    <w:p>
      <w:pPr>
        <w:numPr>
          <w:ilvl w:val="1"/>
          <w:numId w:val="1013"/>
        </w:numPr>
        <w:pStyle w:val="Compact"/>
      </w:pPr>
      <w:r>
        <w:t xml:space="preserve">Spring Boot内嵌Tomcat作为应用服务器</w:t>
      </w:r>
    </w:p>
    <w:p>
      <w:pPr>
        <w:numPr>
          <w:ilvl w:val="1"/>
          <w:numId w:val="1013"/>
        </w:numPr>
        <w:pStyle w:val="Compact"/>
      </w:pPr>
      <w:r>
        <w:t xml:space="preserve">Redis 6.2用于会话管理和数据缓存</w:t>
      </w:r>
    </w:p>
    <w:p>
      <w:pPr>
        <w:numPr>
          <w:ilvl w:val="0"/>
          <w:numId w:val="1011"/>
        </w:numPr>
        <w:pStyle w:val="Compact"/>
      </w:pPr>
      <w:r>
        <w:rPr>
          <w:bCs/>
          <w:b/>
        </w:rPr>
        <w:t xml:space="preserve">第三方依赖库</w:t>
      </w:r>
    </w:p>
    <w:p>
      <w:pPr>
        <w:numPr>
          <w:ilvl w:val="1"/>
          <w:numId w:val="1014"/>
        </w:numPr>
        <w:pStyle w:val="Compact"/>
      </w:pPr>
      <w:r>
        <w:t xml:space="preserve">Java 17运行环境：系统核心运行基础</w:t>
      </w:r>
    </w:p>
    <w:p>
      <w:pPr>
        <w:numPr>
          <w:ilvl w:val="1"/>
          <w:numId w:val="1014"/>
        </w:numPr>
        <w:pStyle w:val="Compact"/>
      </w:pPr>
      <w:r>
        <w:t xml:space="preserve">Node.js 18：前端构建和包管理依赖</w:t>
      </w:r>
    </w:p>
    <w:p>
      <w:pPr>
        <w:numPr>
          <w:ilvl w:val="1"/>
          <w:numId w:val="1014"/>
        </w:numPr>
        <w:pStyle w:val="Compact"/>
      </w:pPr>
      <w:r>
        <w:t xml:space="preserve">PostgreSQL 14：客户数据存储和关系管理</w:t>
      </w:r>
    </w:p>
    <w:p>
      <w:pPr>
        <w:numPr>
          <w:ilvl w:val="1"/>
          <w:numId w:val="1014"/>
        </w:numPr>
        <w:pStyle w:val="Compact"/>
      </w:pPr>
      <w:r>
        <w:t xml:space="preserve">React 18：用户界面渲染和交互处理</w:t>
      </w:r>
    </w:p>
    <w:bookmarkEnd w:id="61"/>
    <w:bookmarkEnd w:id="62"/>
    <w:bookmarkStart w:id="65" w:name="部署拓扑结构阐述"/>
    <w:p>
      <w:pPr>
        <w:pStyle w:val="3"/>
      </w:pPr>
      <w:r>
        <w:t xml:space="preserve">5.2 部署拓扑结构阐述</w:t>
      </w:r>
    </w:p>
    <w:bookmarkStart w:id="63" w:name="组件连接关系说明"/>
    <w:p>
      <w:pPr>
        <w:pStyle w:val="4"/>
      </w:pPr>
      <w:r>
        <w:t xml:space="preserve">5.2.1 组件连接关系说明</w:t>
      </w:r>
    </w:p>
    <w:p>
      <w:pPr>
        <w:numPr>
          <w:ilvl w:val="0"/>
          <w:numId w:val="1015"/>
        </w:numPr>
        <w:pStyle w:val="Compact"/>
      </w:pPr>
      <w:r>
        <w:rPr>
          <w:bCs/>
          <w:b/>
        </w:rPr>
        <w:t xml:space="preserve">核心服务器架构</w:t>
      </w:r>
    </w:p>
    <w:p>
      <w:pPr>
        <w:numPr>
          <w:ilvl w:val="1"/>
          <w:numId w:val="1016"/>
        </w:numPr>
        <w:pStyle w:val="Compact"/>
      </w:pPr>
      <w:r>
        <w:t xml:space="preserve">应用服务器与数据库服务器采用千兆网络直连</w:t>
      </w:r>
    </w:p>
    <w:p>
      <w:pPr>
        <w:numPr>
          <w:ilvl w:val="1"/>
          <w:numId w:val="1016"/>
        </w:numPr>
        <w:pStyle w:val="Compact"/>
      </w:pPr>
      <w:r>
        <w:t xml:space="preserve">负载均衡器部署在应用服务器前端</w:t>
      </w:r>
    </w:p>
    <w:p>
      <w:pPr>
        <w:numPr>
          <w:ilvl w:val="1"/>
          <w:numId w:val="1016"/>
        </w:numPr>
        <w:pStyle w:val="Compact"/>
      </w:pPr>
      <w:r>
        <w:t xml:space="preserve">Redis缓存服务器与主应用服务器同机房部署</w:t>
      </w:r>
    </w:p>
    <w:p>
      <w:pPr>
        <w:numPr>
          <w:ilvl w:val="0"/>
          <w:numId w:val="1015"/>
        </w:numPr>
        <w:pStyle w:val="Compact"/>
      </w:pPr>
      <w:r>
        <w:rPr>
          <w:bCs/>
          <w:b/>
        </w:rPr>
        <w:t xml:space="preserve">网络连接比喻</w:t>
      </w:r>
    </w:p>
    <w:p>
      <w:pPr>
        <w:numPr>
          <w:ilvl w:val="1"/>
          <w:numId w:val="1017"/>
        </w:numPr>
        <w:pStyle w:val="Compact"/>
      </w:pPr>
      <w:r>
        <w:t xml:space="preserve">系统拓扑如同城市交通网络</w:t>
      </w:r>
    </w:p>
    <w:p>
      <w:pPr>
        <w:numPr>
          <w:ilvl w:val="1"/>
          <w:numId w:val="1017"/>
        </w:numPr>
        <w:pStyle w:val="Compact"/>
      </w:pPr>
      <w:r>
        <w:t xml:space="preserve">负载均衡器充当交通指挥中心</w:t>
      </w:r>
    </w:p>
    <w:p>
      <w:pPr>
        <w:numPr>
          <w:ilvl w:val="1"/>
          <w:numId w:val="1017"/>
        </w:numPr>
        <w:pStyle w:val="Compact"/>
      </w:pPr>
      <w:r>
        <w:t xml:space="preserve">数据库服务器是核心数据仓库</w:t>
      </w:r>
    </w:p>
    <w:p>
      <w:pPr>
        <w:numPr>
          <w:ilvl w:val="1"/>
          <w:numId w:val="1017"/>
        </w:numPr>
        <w:pStyle w:val="Compact"/>
      </w:pPr>
      <w:r>
        <w:t xml:space="preserve">缓存服务器相当于高速匝道</w:t>
      </w:r>
    </w:p>
    <w:bookmarkEnd w:id="63"/>
    <w:bookmarkStart w:id="64" w:name="组件交互方式讲解"/>
    <w:p>
      <w:pPr>
        <w:pStyle w:val="4"/>
      </w:pPr>
      <w:r>
        <w:t xml:space="preserve">5.2.2 组件交互方式讲解</w:t>
      </w:r>
    </w:p>
    <w:p>
      <w:pPr>
        <w:numPr>
          <w:ilvl w:val="0"/>
          <w:numId w:val="1018"/>
        </w:numPr>
        <w:pStyle w:val="Compact"/>
      </w:pPr>
      <w:r>
        <w:rPr>
          <w:bCs/>
          <w:b/>
        </w:rPr>
        <w:t xml:space="preserve">请求处理流程</w:t>
      </w:r>
    </w:p>
    <w:p>
      <w:pPr>
        <w:numPr>
          <w:ilvl w:val="1"/>
          <w:numId w:val="1019"/>
        </w:numPr>
        <w:pStyle w:val="Compact"/>
      </w:pPr>
      <w:r>
        <w:t xml:space="preserve">客户端通过浏览器发起HTTPS请求</w:t>
      </w:r>
    </w:p>
    <w:p>
      <w:pPr>
        <w:numPr>
          <w:ilvl w:val="1"/>
          <w:numId w:val="1019"/>
        </w:numPr>
        <w:pStyle w:val="Compact"/>
      </w:pPr>
      <w:r>
        <w:t xml:space="preserve">负载均衡器接收请求并分发到应用服务器</w:t>
      </w:r>
    </w:p>
    <w:p>
      <w:pPr>
        <w:numPr>
          <w:ilvl w:val="1"/>
          <w:numId w:val="1019"/>
        </w:numPr>
        <w:pStyle w:val="Compact"/>
      </w:pPr>
      <w:r>
        <w:t xml:space="preserve">应用服务器处理业务逻辑并访问数据库</w:t>
      </w:r>
    </w:p>
    <w:p>
      <w:pPr>
        <w:numPr>
          <w:ilvl w:val="1"/>
          <w:numId w:val="1019"/>
        </w:numPr>
        <w:pStyle w:val="Compact"/>
      </w:pPr>
      <w:r>
        <w:t xml:space="preserve">响应数据经缓存层优化后返回客户端</w:t>
      </w:r>
    </w:p>
    <w:p>
      <w:pPr>
        <w:numPr>
          <w:ilvl w:val="0"/>
          <w:numId w:val="1018"/>
        </w:numPr>
        <w:pStyle w:val="Compact"/>
      </w:pPr>
      <w:r>
        <w:rPr>
          <w:bCs/>
          <w:b/>
        </w:rPr>
        <w:t xml:space="preserve">中间件作用机制</w:t>
      </w:r>
    </w:p>
    <w:p>
      <w:pPr>
        <w:numPr>
          <w:ilvl w:val="1"/>
          <w:numId w:val="1020"/>
        </w:numPr>
        <w:pStyle w:val="Compact"/>
      </w:pPr>
      <w:r>
        <w:t xml:space="preserve">Nginx负责请求路由和静态资源分发</w:t>
      </w:r>
    </w:p>
    <w:p>
      <w:pPr>
        <w:numPr>
          <w:ilvl w:val="1"/>
          <w:numId w:val="1020"/>
        </w:numPr>
        <w:pStyle w:val="Compact"/>
      </w:pPr>
      <w:r>
        <w:t xml:space="preserve">Redis缓存高频访问的客户数据和会话信息</w:t>
      </w:r>
    </w:p>
    <w:p>
      <w:pPr>
        <w:numPr>
          <w:ilvl w:val="1"/>
          <w:numId w:val="1020"/>
        </w:numPr>
        <w:pStyle w:val="Compact"/>
      </w:pPr>
      <w:r>
        <w:t xml:space="preserve">数据库连接池管理并发数据库访问</w:t>
      </w:r>
    </w:p>
    <w:p>
      <w:pPr>
        <w:numPr>
          <w:ilvl w:val="0"/>
          <w:numId w:val="1018"/>
        </w:numPr>
        <w:pStyle w:val="Compact"/>
      </w:pPr>
      <w:r>
        <w:rPr>
          <w:bCs/>
          <w:b/>
        </w:rPr>
        <w:t xml:space="preserve">数据流动规则</w:t>
      </w:r>
    </w:p>
    <w:p>
      <w:pPr>
        <w:numPr>
          <w:ilvl w:val="1"/>
          <w:numId w:val="1021"/>
        </w:numPr>
        <w:pStyle w:val="Compact"/>
      </w:pPr>
      <w:r>
        <w:t xml:space="preserve">客户数据从前端收集至后端验证</w:t>
      </w:r>
    </w:p>
    <w:p>
      <w:pPr>
        <w:numPr>
          <w:ilvl w:val="1"/>
          <w:numId w:val="1021"/>
        </w:numPr>
        <w:pStyle w:val="Compact"/>
      </w:pPr>
      <w:r>
        <w:t xml:space="preserve">量化分析结果从数据库流向可视化模块</w:t>
      </w:r>
    </w:p>
    <w:p>
      <w:pPr>
        <w:numPr>
          <w:ilvl w:val="1"/>
          <w:numId w:val="1021"/>
        </w:numPr>
        <w:pStyle w:val="Compact"/>
      </w:pPr>
      <w:r>
        <w:t xml:space="preserve">权限验证信息在各级组件间传递校验</w:t>
      </w:r>
    </w:p>
    <w:bookmarkEnd w:id="64"/>
    <w:bookmarkEnd w:id="65"/>
    <w:bookmarkStart w:id="68" w:name="配置文件说明"/>
    <w:p>
      <w:pPr>
        <w:pStyle w:val="3"/>
      </w:pPr>
      <w:r>
        <w:t xml:space="preserve">5.3 配置文件说明</w:t>
      </w:r>
    </w:p>
    <w:bookmarkStart w:id="66" w:name="路径明确"/>
    <w:p>
      <w:pPr>
        <w:pStyle w:val="4"/>
      </w:pPr>
      <w:r>
        <w:t xml:space="preserve">5.3.1 路径明确</w:t>
      </w:r>
    </w:p>
    <w:p>
      <w:pPr>
        <w:numPr>
          <w:ilvl w:val="0"/>
          <w:numId w:val="1022"/>
        </w:numPr>
        <w:pStyle w:val="Compact"/>
      </w:pPr>
      <w:r>
        <w:rPr>
          <w:bCs/>
          <w:b/>
        </w:rPr>
        <w:t xml:space="preserve">应用配置文件路径</w:t>
      </w:r>
    </w:p>
    <w:p>
      <w:pPr>
        <w:numPr>
          <w:ilvl w:val="1"/>
          <w:numId w:val="1023"/>
        </w:numPr>
        <w:pStyle w:val="Compact"/>
      </w:pPr>
      <w:r>
        <w:rPr>
          <w:rStyle w:val="VerbatimChar"/>
        </w:rPr>
        <w:t xml:space="preserve">/opt/quantcrm/application.yml</w:t>
      </w:r>
      <w:r>
        <w:t xml:space="preserve"> </w:t>
      </w:r>
      <w:r>
        <w:t xml:space="preserve">主配置文件</w:t>
      </w:r>
    </w:p>
    <w:p>
      <w:pPr>
        <w:numPr>
          <w:ilvl w:val="1"/>
          <w:numId w:val="1023"/>
        </w:numPr>
        <w:pStyle w:val="Compact"/>
      </w:pPr>
      <w:r>
        <w:rPr>
          <w:rStyle w:val="VerbatimChar"/>
        </w:rPr>
        <w:t xml:space="preserve">/opt/quantcrm/application-prod.yml</w:t>
      </w:r>
      <w:r>
        <w:t xml:space="preserve"> </w:t>
      </w:r>
      <w:r>
        <w:t xml:space="preserve">生产环境配置</w:t>
      </w:r>
    </w:p>
    <w:p>
      <w:pPr>
        <w:numPr>
          <w:ilvl w:val="1"/>
          <w:numId w:val="1023"/>
        </w:numPr>
        <w:pStyle w:val="Compact"/>
      </w:pPr>
      <w:r>
        <w:rPr>
          <w:rStyle w:val="VerbatimChar"/>
        </w:rPr>
        <w:t xml:space="preserve">/opt/quantcrm/logback-spring.xml</w:t>
      </w:r>
      <w:r>
        <w:t xml:space="preserve"> </w:t>
      </w:r>
      <w:r>
        <w:t xml:space="preserve">日志配置文件</w:t>
      </w:r>
    </w:p>
    <w:p>
      <w:pPr>
        <w:numPr>
          <w:ilvl w:val="0"/>
          <w:numId w:val="1022"/>
        </w:numPr>
        <w:pStyle w:val="Compact"/>
      </w:pPr>
      <w:r>
        <w:rPr>
          <w:bCs/>
          <w:b/>
        </w:rPr>
        <w:t xml:space="preserve">数据库配置路径</w:t>
      </w:r>
    </w:p>
    <w:p>
      <w:pPr>
        <w:numPr>
          <w:ilvl w:val="1"/>
          <w:numId w:val="1024"/>
        </w:numPr>
        <w:pStyle w:val="Compact"/>
      </w:pPr>
      <w:r>
        <w:rPr>
          <w:rStyle w:val="VerbatimChar"/>
        </w:rPr>
        <w:t xml:space="preserve">/etc/postgresql/14/main/postgresql.conf</w:t>
      </w:r>
      <w:r>
        <w:t xml:space="preserve"> </w:t>
      </w:r>
      <w:r>
        <w:t xml:space="preserve">数据库主配置</w:t>
      </w:r>
    </w:p>
    <w:p>
      <w:pPr>
        <w:numPr>
          <w:ilvl w:val="1"/>
          <w:numId w:val="1024"/>
        </w:numPr>
        <w:pStyle w:val="Compact"/>
      </w:pPr>
      <w:r>
        <w:rPr>
          <w:rStyle w:val="VerbatimChar"/>
        </w:rPr>
        <w:t xml:space="preserve">/etc/postgresql/14/main/pg_hba.conf</w:t>
      </w:r>
      <w:r>
        <w:t xml:space="preserve"> </w:t>
      </w:r>
      <w:r>
        <w:t xml:space="preserve">客户端认证配置</w:t>
      </w:r>
    </w:p>
    <w:p>
      <w:pPr>
        <w:numPr>
          <w:ilvl w:val="0"/>
          <w:numId w:val="1022"/>
        </w:numPr>
        <w:pStyle w:val="Compact"/>
      </w:pPr>
      <w:r>
        <w:rPr>
          <w:bCs/>
          <w:b/>
        </w:rPr>
        <w:t xml:space="preserve">Web服务器配置</w:t>
      </w:r>
    </w:p>
    <w:p>
      <w:pPr>
        <w:numPr>
          <w:ilvl w:val="1"/>
          <w:numId w:val="1025"/>
        </w:numPr>
        <w:pStyle w:val="Compact"/>
      </w:pPr>
      <w:r>
        <w:rPr>
          <w:rStyle w:val="VerbatimChar"/>
        </w:rPr>
        <w:t xml:space="preserve">/etc/nginx/nginx.conf</w:t>
      </w:r>
      <w:r>
        <w:t xml:space="preserve"> </w:t>
      </w:r>
      <w:r>
        <w:t xml:space="preserve">Nginx主配置文件</w:t>
      </w:r>
    </w:p>
    <w:p>
      <w:pPr>
        <w:numPr>
          <w:ilvl w:val="1"/>
          <w:numId w:val="1025"/>
        </w:numPr>
        <w:pStyle w:val="Compact"/>
      </w:pPr>
      <w:r>
        <w:rPr>
          <w:rStyle w:val="VerbatimChar"/>
        </w:rPr>
        <w:t xml:space="preserve">/etc/nginx/sites-available/quantcrm</w:t>
      </w:r>
      <w:r>
        <w:t xml:space="preserve"> </w:t>
      </w:r>
      <w:r>
        <w:t xml:space="preserve">站点专属配置</w:t>
      </w:r>
    </w:p>
    <w:bookmarkEnd w:id="66"/>
    <w:bookmarkStart w:id="67" w:name="参数含义和作用解读"/>
    <w:p>
      <w:pPr>
        <w:pStyle w:val="4"/>
      </w:pPr>
      <w:r>
        <w:t xml:space="preserve">5.3.2 参数含义和作用解读</w:t>
      </w:r>
    </w:p>
    <w:p>
      <w:pPr>
        <w:numPr>
          <w:ilvl w:val="0"/>
          <w:numId w:val="1026"/>
        </w:numPr>
        <w:pStyle w:val="Compact"/>
      </w:pPr>
      <w:r>
        <w:rPr>
          <w:bCs/>
          <w:b/>
        </w:rPr>
        <w:t xml:space="preserve">数据库连接参数</w:t>
      </w:r>
    </w:p>
    <w:p>
      <w:pPr>
        <w:numPr>
          <w:ilvl w:val="1"/>
          <w:numId w:val="1027"/>
        </w:numPr>
        <w:pStyle w:val="Compact"/>
      </w:pPr>
      <w:r>
        <w:rPr>
          <w:rStyle w:val="VerbatimChar"/>
        </w:rPr>
        <w:t xml:space="preserve">spring.datasource.url</w:t>
      </w:r>
      <w:r>
        <w:t xml:space="preserve">：数据库连接地址，格式jdbc:postgresql://host:port/dbname</w:t>
      </w:r>
    </w:p>
    <w:p>
      <w:pPr>
        <w:numPr>
          <w:ilvl w:val="1"/>
          <w:numId w:val="1027"/>
        </w:numPr>
        <w:pStyle w:val="Compact"/>
      </w:pPr>
      <w:r>
        <w:rPr>
          <w:rStyle w:val="VerbatimChar"/>
        </w:rPr>
        <w:t xml:space="preserve">spring.datasource.max-active</w:t>
      </w:r>
      <w:r>
        <w:t xml:space="preserve">：连接池最大连接数，推荐值20-50</w:t>
      </w:r>
    </w:p>
    <w:p>
      <w:pPr>
        <w:numPr>
          <w:ilvl w:val="1"/>
          <w:numId w:val="1027"/>
        </w:numPr>
        <w:pStyle w:val="Compact"/>
      </w:pPr>
      <w:r>
        <w:t xml:space="preserve">配置错误风险：连接数过少导致请求阻塞，过多消耗系统资源</w:t>
      </w:r>
    </w:p>
    <w:p>
      <w:pPr>
        <w:numPr>
          <w:ilvl w:val="0"/>
          <w:numId w:val="1026"/>
        </w:numPr>
        <w:pStyle w:val="Compact"/>
      </w:pPr>
      <w:r>
        <w:rPr>
          <w:bCs/>
          <w:b/>
        </w:rPr>
        <w:t xml:space="preserve">应用性能参数</w:t>
      </w:r>
    </w:p>
    <w:p>
      <w:pPr>
        <w:numPr>
          <w:ilvl w:val="1"/>
          <w:numId w:val="1028"/>
        </w:numPr>
        <w:pStyle w:val="Compact"/>
      </w:pPr>
      <w:r>
        <w:rPr>
          <w:rStyle w:val="VerbatimChar"/>
        </w:rPr>
        <w:t xml:space="preserve">server.tomcat.max-threads</w:t>
      </w:r>
      <w:r>
        <w:t xml:space="preserve">：最大工作线程数，建议100-200</w:t>
      </w:r>
    </w:p>
    <w:p>
      <w:pPr>
        <w:numPr>
          <w:ilvl w:val="1"/>
          <w:numId w:val="1028"/>
        </w:numPr>
        <w:pStyle w:val="Compact"/>
      </w:pPr>
      <w:r>
        <w:rPr>
          <w:rStyle w:val="VerbatimChar"/>
        </w:rPr>
        <w:t xml:space="preserve">spring.redis.timeout</w:t>
      </w:r>
      <w:r>
        <w:t xml:space="preserve">：Redis操作超时时间，默认2000ms</w:t>
      </w:r>
    </w:p>
    <w:p>
      <w:pPr>
        <w:numPr>
          <w:ilvl w:val="1"/>
          <w:numId w:val="1028"/>
        </w:numPr>
        <w:pStyle w:val="Compact"/>
      </w:pPr>
      <w:r>
        <w:t xml:space="preserve">线程配置影响：过少降低并发能力，过多增加上下文切换开销</w:t>
      </w:r>
    </w:p>
    <w:p>
      <w:pPr>
        <w:numPr>
          <w:ilvl w:val="0"/>
          <w:numId w:val="1026"/>
        </w:numPr>
        <w:pStyle w:val="Compact"/>
      </w:pPr>
      <w:r>
        <w:rPr>
          <w:bCs/>
          <w:b/>
        </w:rPr>
        <w:t xml:space="preserve">安全相关配置</w:t>
      </w:r>
    </w:p>
    <w:p>
      <w:pPr>
        <w:numPr>
          <w:ilvl w:val="1"/>
          <w:numId w:val="1029"/>
        </w:numPr>
        <w:pStyle w:val="Compact"/>
      </w:pPr>
      <w:r>
        <w:rPr>
          <w:rStyle w:val="VerbatimChar"/>
        </w:rPr>
        <w:t xml:space="preserve">security.jwt.secret</w:t>
      </w:r>
      <w:r>
        <w:t xml:space="preserve">：JWT令牌签名密钥，要求32位以上随机字符串</w:t>
      </w:r>
    </w:p>
    <w:p>
      <w:pPr>
        <w:numPr>
          <w:ilvl w:val="1"/>
          <w:numId w:val="1029"/>
        </w:numPr>
        <w:pStyle w:val="Compact"/>
      </w:pPr>
      <w:r>
        <w:rPr>
          <w:rStyle w:val="VerbatimChar"/>
        </w:rPr>
        <w:t xml:space="preserve">security.cors.allowed-origins</w:t>
      </w:r>
      <w:r>
        <w:t xml:space="preserve">：跨域请求允许域名列表</w:t>
      </w:r>
    </w:p>
    <w:p>
      <w:pPr>
        <w:numPr>
          <w:ilvl w:val="1"/>
          <w:numId w:val="1029"/>
        </w:numPr>
        <w:pStyle w:val="Compact"/>
      </w:pPr>
      <w:r>
        <w:t xml:space="preserve">安全风险：弱密钥导致令牌伪造，宽松跨域策略引发CSRF攻击</w:t>
      </w:r>
    </w:p>
    <w:p>
      <w:pPr>
        <w:numPr>
          <w:ilvl w:val="0"/>
          <w:numId w:val="1026"/>
        </w:numPr>
        <w:pStyle w:val="Compact"/>
      </w:pPr>
      <w:r>
        <w:rPr>
          <w:bCs/>
          <w:b/>
        </w:rPr>
        <w:t xml:space="preserve">业务功能参数</w:t>
      </w:r>
    </w:p>
    <w:p>
      <w:pPr>
        <w:numPr>
          <w:ilvl w:val="1"/>
          <w:numId w:val="1030"/>
        </w:numPr>
        <w:pStyle w:val="Compact"/>
      </w:pPr>
      <w:r>
        <w:rPr>
          <w:rStyle w:val="VerbatimChar"/>
        </w:rPr>
        <w:t xml:space="preserve">quant.analysis.batch-size</w:t>
      </w:r>
      <w:r>
        <w:t xml:space="preserve">：批量分析任务大小，默认1000条记录</w:t>
      </w:r>
    </w:p>
    <w:p>
      <w:pPr>
        <w:numPr>
          <w:ilvl w:val="1"/>
          <w:numId w:val="1030"/>
        </w:numPr>
        <w:pStyle w:val="Compact"/>
      </w:pPr>
      <w:r>
        <w:rPr>
          <w:rStyle w:val="VerbatimChar"/>
        </w:rPr>
        <w:t xml:space="preserve">quant.cache.ttl</w:t>
      </w:r>
      <w:r>
        <w:t xml:space="preserve">：客户数据缓存生存时间，建议300-600秒</w:t>
      </w:r>
    </w:p>
    <w:p>
      <w:pPr>
        <w:numPr>
          <w:ilvl w:val="1"/>
          <w:numId w:val="1030"/>
        </w:numPr>
        <w:pStyle w:val="Compact"/>
      </w:pPr>
      <w:r>
        <w:t xml:space="preserve">性能影响：批处理大小影响内存使用，缓存时间关系数据实时性</w:t>
      </w:r>
    </w:p>
    <w:bookmarkEnd w:id="67"/>
    <w:bookmarkEnd w:id="68"/>
    <w:bookmarkEnd w:id="69"/>
    <w:bookmarkStart w:id="204" w:name="六主要界面介绍"/>
    <w:p>
      <w:pPr>
        <w:pStyle w:val="20"/>
      </w:pPr>
      <w:r>
        <w:t xml:space="preserve">六、主要界面介绍</w:t>
      </w:r>
    </w:p>
    <w:bookmarkStart w:id="82" w:name="用户认证"/>
    <w:p>
      <w:pPr>
        <w:pStyle w:val="3"/>
      </w:pPr>
      <w:r>
        <w:t xml:space="preserve">6.1 用户认证</w:t>
      </w:r>
    </w:p>
    <w:bookmarkStart w:id="73" w:name="登录页"/>
    <w:p>
      <w:pPr>
        <w:pStyle w:val="4"/>
      </w:pPr>
      <w:r>
        <w:t xml:space="preserve">6.1.1 登录页</w:t>
      </w:r>
    </w:p>
    <w:p>
      <w:pPr>
        <w:pStyle w:val="FirstParagraph"/>
      </w:pPr>
      <w:r>
        <w:t xml:space="preserve"> </w:t>
      </w:r>
    </w:p>
    <w:p>
      <w:pPr>
        <w:pStyle w:val="CaptionedFigure"/>
      </w:pPr>
      <w:r>
        <w:drawing>
          <wp:inline>
            <wp:extent cx="5270500" cy="2964656"/>
            <wp:effectExtent b="0" l="0" r="0" t="0"/>
            <wp:docPr descr="auth_login_screenshot.png" title="" id="71" name="Picture"/>
            <a:graphic>
              <a:graphicData uri="http://schemas.openxmlformats.org/drawingml/2006/picture">
                <pic:pic>
                  <pic:nvPicPr>
                    <pic:cNvPr descr="output/95bb2b01/src/preview/screenshots/auth_login_screenshot.png" id="72" name="Picture"/>
                    <pic:cNvPicPr>
                      <a:picLocks noChangeArrowheads="1" noChangeAspect="1"/>
                    </pic:cNvPicPr>
                  </pic:nvPicPr>
                  <pic:blipFill>
                    <a:blip r:embed="rId70"/>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auth_login_screenshot.png</w:t>
      </w:r>
    </w:p>
    <w:p>
      <w:pPr>
        <w:pStyle w:val="a0"/>
      </w:pPr>
      <w:r>
        <w:t xml:space="preserve"> </w:t>
      </w:r>
      <w:r>
        <w:t xml:space="preserve"> </w:t>
      </w:r>
      <w:r>
        <w:t xml:space="preserve">本页面是量化咨询客户关系管理系统的登录入口，用户需通过身份验证才能访问系统核心功能。操作流程设计简洁明了，主要围绕用户凭据验证展开。</w:t>
      </w:r>
    </w:p>
    <w:p>
      <w:pPr>
        <w:pStyle w:val="a0"/>
      </w:pPr>
      <w:r>
        <w:t xml:space="preserve">首先在用户名输入框中准确输入您的账户名称，该输入框左侧带有人员图标标识。接着在密码输入框内输入对应的登录密码，密码框以锁形图标作为视觉提示，输入内容将自动隐藏以确保安全。</w:t>
      </w:r>
    </w:p>
    <w:p>
      <w:pPr>
        <w:pStyle w:val="a0"/>
      </w:pPr>
      <w:r>
        <w:t xml:space="preserve">系统提供“记住我”选项，勾选后可在后续访问时保留登录状态，提升使用便捷性。完成信息填写后，点击页面中央的登录按钮提交验证请求。</w:t>
      </w:r>
    </w:p>
    <w:p>
      <w:pPr>
        <w:pStyle w:val="a0"/>
      </w:pPr>
      <w:r>
        <w:t xml:space="preserve">若遇到登录问题，页面底部提供两个辅助功能链接：</w:t>
      </w:r>
      <w:r>
        <w:t xml:space="preserve"> </w:t>
      </w:r>
      <w:r>
        <w:t xml:space="preserve">- 忘记密码时可点击“忘记密码？”进行账户恢复</w:t>
      </w:r>
      <w:r>
        <w:t xml:space="preserve"> </w:t>
      </w:r>
      <w:r>
        <w:t xml:space="preserve">- 新用户可通过“注册新账户”创建系统访问权限</w:t>
      </w:r>
    </w:p>
    <w:p>
      <w:pPr>
        <w:pStyle w:val="a0"/>
      </w:pPr>
      <w:r>
        <w:t xml:space="preserve">登录成功后，用户将进入系统主界面，即可使用客户数据管理、量化分析工具、服务流程追踪等核心功能模块。请确保在安全网络环境下操作，避免账户信息泄露。</w:t>
      </w:r>
    </w:p>
    <w:bookmarkEnd w:id="73"/>
    <w:bookmarkStart w:id="77" w:name="注册页"/>
    <w:p>
      <w:pPr>
        <w:pStyle w:val="4"/>
      </w:pPr>
      <w:r>
        <w:t xml:space="preserve">6.1.2 注册页</w:t>
      </w:r>
    </w:p>
    <w:p>
      <w:pPr>
        <w:pStyle w:val="FirstParagraph"/>
      </w:pPr>
      <w:r>
        <w:t xml:space="preserve"> </w:t>
      </w:r>
    </w:p>
    <w:p>
      <w:pPr>
        <w:pStyle w:val="CaptionedFigure"/>
      </w:pPr>
      <w:r>
        <w:drawing>
          <wp:inline>
            <wp:extent cx="5270500" cy="2964656"/>
            <wp:effectExtent b="0" l="0" r="0" t="0"/>
            <wp:docPr descr="auth_register_screenshot.png" title="" id="75" name="Picture"/>
            <a:graphic>
              <a:graphicData uri="http://schemas.openxmlformats.org/drawingml/2006/picture">
                <pic:pic>
                  <pic:nvPicPr>
                    <pic:cNvPr descr="output/95bb2b01/src/preview/screenshots/auth_register_screenshot.png" id="76" name="Picture"/>
                    <pic:cNvPicPr>
                      <a:picLocks noChangeArrowheads="1" noChangeAspect="1"/>
                    </pic:cNvPicPr>
                  </pic:nvPicPr>
                  <pic:blipFill>
                    <a:blip r:embed="rId74"/>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auth_register_screenshot.png</w:t>
      </w:r>
    </w:p>
    <w:p>
      <w:pPr>
        <w:pStyle w:val="a0"/>
      </w:pPr>
      <w:r>
        <w:t xml:space="preserve"> </w:t>
      </w:r>
      <w:r>
        <w:t xml:space="preserve"> </w:t>
      </w:r>
      <w:r>
        <w:t xml:space="preserve">本注册页面用于创建量化咨询客户关系管理系统的新用户账户。操作流程清晰分为信息填写和系统功能了解两个主要区域。</w:t>
      </w:r>
    </w:p>
    <w:p>
      <w:pPr>
        <w:pStyle w:val="a0"/>
      </w:pPr>
      <w:r>
        <w:t xml:space="preserve">在左侧区域，系统展示了核心功能亮点，包括分级数据权限管控、内置量化分析工具和实时项目进度跟进，帮助用户了解系统价值。</w:t>
      </w:r>
    </w:p>
    <w:p>
      <w:pPr>
        <w:pStyle w:val="a0"/>
      </w:pPr>
      <w:r>
        <w:t xml:space="preserve">注册操作集中在右侧表单区域，需按顺序完成以下步骤：</w:t>
      </w:r>
      <w:r>
        <w:t xml:space="preserve"> </w:t>
      </w:r>
      <w:r>
        <w:t xml:space="preserve">- 在姓名字段输入真实姓名</w:t>
      </w:r>
      <w:r>
        <w:t xml:space="preserve"> </w:t>
      </w:r>
      <w:r>
        <w:t xml:space="preserve">- 填写公司或机构全称</w:t>
      </w:r>
      <w:r>
        <w:t xml:space="preserve"> </w:t>
      </w:r>
      <w:r>
        <w:t xml:space="preserve">- 从下拉菜单中选择对应职位，包括咨询顾问、量化分析师、客户经理等选项</w:t>
      </w:r>
      <w:r>
        <w:t xml:space="preserve"> </w:t>
      </w:r>
      <w:r>
        <w:t xml:space="preserve">- 提供有效的工作邮箱地址</w:t>
      </w:r>
      <w:r>
        <w:t xml:space="preserve"> </w:t>
      </w:r>
      <w:r>
        <w:t xml:space="preserve">- 输入手机号码用于验证</w:t>
      </w:r>
      <w:r>
        <w:t xml:space="preserve"> </w:t>
      </w:r>
      <w:r>
        <w:t xml:space="preserve">- 设置并确认登录密码，确保两次输入一致</w:t>
      </w:r>
      <w:r>
        <w:t xml:space="preserve"> </w:t>
      </w:r>
      <w:r>
        <w:t xml:space="preserve">- 勾选同意服务条款和隐私政策复选框</w:t>
      </w:r>
    </w:p>
    <w:p>
      <w:pPr>
        <w:pStyle w:val="a0"/>
      </w:pPr>
      <w:r>
        <w:t xml:space="preserve">完成所有必填字段后，点击”立即注册”按钮提交表单。系统会进行实时验证，如发现密码不匹配或必填项缺失，会立即提示相应错误信息。注册成功后，用户可通过底部链接跳转至登录页面。所有表单字段均采用引导性占位文本和图标标识，确保填写过程直观顺畅。</w:t>
      </w:r>
    </w:p>
    <w:bookmarkEnd w:id="77"/>
    <w:bookmarkStart w:id="81" w:name="忘记密码页"/>
    <w:p>
      <w:pPr>
        <w:pStyle w:val="4"/>
      </w:pPr>
      <w:r>
        <w:t xml:space="preserve">6.1.3 忘记密码页</w:t>
      </w:r>
    </w:p>
    <w:p>
      <w:pPr>
        <w:pStyle w:val="FirstParagraph"/>
      </w:pPr>
      <w:r>
        <w:t xml:space="preserve"> </w:t>
      </w:r>
    </w:p>
    <w:p>
      <w:pPr>
        <w:pStyle w:val="CaptionedFigure"/>
      </w:pPr>
      <w:r>
        <w:drawing>
          <wp:inline>
            <wp:extent cx="5270500" cy="2964656"/>
            <wp:effectExtent b="0" l="0" r="0" t="0"/>
            <wp:docPr descr="auth_forgot_password_screenshot.png" title="" id="79" name="Picture"/>
            <a:graphic>
              <a:graphicData uri="http://schemas.openxmlformats.org/drawingml/2006/picture">
                <pic:pic>
                  <pic:nvPicPr>
                    <pic:cNvPr descr="output/95bb2b01/src/preview/screenshots/auth_forgot_password_screenshot.png" id="80" name="Picture"/>
                    <pic:cNvPicPr>
                      <a:picLocks noChangeArrowheads="1" noChangeAspect="1"/>
                    </pic:cNvPicPr>
                  </pic:nvPicPr>
                  <pic:blipFill>
                    <a:blip r:embed="rId78"/>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auth_forgot_password_screenshot.png</w:t>
      </w:r>
    </w:p>
    <w:p>
      <w:pPr>
        <w:pStyle w:val="a0"/>
      </w:pPr>
      <w:r>
        <w:t xml:space="preserve"> </w:t>
      </w:r>
      <w:r>
        <w:t xml:space="preserve"> </w:t>
      </w:r>
      <w:r>
        <w:t xml:space="preserve">本页面提供密码找回功能，用户可通过验证注册邮箱或手机号来重置账户密码。操作流程清晰，分为以下几个步骤：</w:t>
      </w:r>
    </w:p>
    <w:p>
      <w:pPr>
        <w:pStyle w:val="a0"/>
      </w:pPr>
      <w:r>
        <w:t xml:space="preserve">首先，在页面右侧选择密码找回方式。系统默认选择“邮箱找回”，用户也可点击“短信找回”切换至手机验证。选择方式后，在对应表单中输入注册信息：</w:t>
      </w:r>
      <w:r>
        <w:t xml:space="preserve"> </w:t>
      </w:r>
      <w:r>
        <w:t xml:space="preserve">- 如选择邮箱找回，需填写注册邮箱地址，并点击“发送验证码”按钮获取邮箱验证码</w:t>
      </w:r>
      <w:r>
        <w:t xml:space="preserve"> </w:t>
      </w:r>
      <w:r>
        <w:t xml:space="preserve">- 如选择短信找回，需填写注册手机号码，并点击“发送验证码”按钮获取短信验证码</w:t>
      </w:r>
    </w:p>
    <w:p>
      <w:pPr>
        <w:pStyle w:val="a0"/>
      </w:pPr>
      <w:r>
        <w:t xml:space="preserve">发送验证码后，按钮将进入60秒倒计时状态，期间不可重复发送。收到验证码后，请在相应输入框中准确填写6位验证码。</w:t>
      </w:r>
    </w:p>
    <w:p>
      <w:pPr>
        <w:pStyle w:val="a0"/>
      </w:pPr>
      <w:r>
        <w:t xml:space="preserve">接下来设置新密码：</w:t>
      </w:r>
      <w:r>
        <w:t xml:space="preserve"> </w:t>
      </w:r>
      <w:r>
        <w:t xml:space="preserve">- 在“设置新密码”字段输入符合要求的新密码（需包含至少8个字符，包括字母和数字）</w:t>
      </w:r>
      <w:r>
        <w:t xml:space="preserve"> </w:t>
      </w:r>
      <w:r>
        <w:t xml:space="preserve">- 可通过右侧眼睛图标切换密码显示状态以确认输入内容</w:t>
      </w:r>
      <w:r>
        <w:t xml:space="preserve"> </w:t>
      </w:r>
      <w:r>
        <w:t xml:space="preserve">- 在“确认新密码”字段再次输入相同密码以确保一致性</w:t>
      </w:r>
    </w:p>
    <w:p>
      <w:pPr>
        <w:pStyle w:val="a0"/>
      </w:pPr>
      <w:r>
        <w:t xml:space="preserve">完成所有信息填写后，点击“重置密码”按钮提交申请。系统将处理重置请求，成功后自动跳转至登录页面。若想起原密码，可点击底部“返回登录”链接直接返回登录界面。</w:t>
      </w:r>
    </w:p>
    <w:p>
      <w:pPr>
        <w:pStyle w:val="a0"/>
      </w:pPr>
      <w:r>
        <w:t xml:space="preserve">整个流程采用多重验证机制确保账户安全，用户在操作过程中需确保输入信息的准确性。</w:t>
      </w:r>
    </w:p>
    <w:bookmarkEnd w:id="81"/>
    <w:bookmarkEnd w:id="82"/>
    <w:bookmarkStart w:id="87" w:name="仪表盘"/>
    <w:p>
      <w:pPr>
        <w:pStyle w:val="3"/>
      </w:pPr>
      <w:r>
        <w:t xml:space="preserve">6.2 仪表盘</w:t>
      </w:r>
    </w:p>
    <w:bookmarkStart w:id="86" w:name="仪表盘-1"/>
    <w:p>
      <w:pPr>
        <w:pStyle w:val="4"/>
      </w:pPr>
      <w:r>
        <w:t xml:space="preserve">6.2.1 仪表盘</w:t>
      </w:r>
    </w:p>
    <w:p>
      <w:pPr>
        <w:pStyle w:val="FirstParagraph"/>
      </w:pPr>
      <w:r>
        <w:t xml:space="preserve"> </w:t>
      </w:r>
    </w:p>
    <w:p>
      <w:pPr>
        <w:pStyle w:val="CaptionedFigure"/>
      </w:pPr>
      <w:r>
        <w:drawing>
          <wp:inline>
            <wp:extent cx="5270500" cy="3346218"/>
            <wp:effectExtent b="0" l="0" r="0" t="0"/>
            <wp:docPr descr="dashboard_screenshot.png" title="" id="84" name="Picture"/>
            <a:graphic>
              <a:graphicData uri="http://schemas.openxmlformats.org/drawingml/2006/picture">
                <pic:pic>
                  <pic:nvPicPr>
                    <pic:cNvPr descr="output/95bb2b01/src/preview/screenshots/dashboard_screenshot.png" id="85" name="Picture"/>
                    <pic:cNvPicPr>
                      <a:picLocks noChangeArrowheads="1" noChangeAspect="1"/>
                    </pic:cNvPicPr>
                  </pic:nvPicPr>
                  <pic:blipFill>
                    <a:blip r:embed="rId83"/>
                    <a:stretch>
                      <a:fillRect/>
                    </a:stretch>
                  </pic:blipFill>
                  <pic:spPr bwMode="auto">
                    <a:xfrm>
                      <a:off x="0" y="0"/>
                      <a:ext cx="5270500" cy="3346218"/>
                    </a:xfrm>
                    <a:prstGeom prst="rect">
                      <a:avLst/>
                    </a:prstGeom>
                    <a:noFill/>
                    <a:ln w="9525">
                      <a:noFill/>
                      <a:headEnd/>
                      <a:tailEnd/>
                    </a:ln>
                  </pic:spPr>
                </pic:pic>
              </a:graphicData>
            </a:graphic>
          </wp:inline>
        </w:drawing>
      </w:r>
    </w:p>
    <w:p>
      <w:pPr>
        <w:pStyle w:val="ImageCaption"/>
      </w:pPr>
      <w:r>
        <w:t xml:space="preserve">dashboard_screenshot.png</w:t>
      </w:r>
    </w:p>
    <w:p>
      <w:pPr>
        <w:pStyle w:val="a0"/>
      </w:pPr>
      <w:r>
        <w:t xml:space="preserve"> </w:t>
      </w:r>
      <w:r>
        <w:t xml:space="preserve"> </w:t>
      </w:r>
      <w:r>
        <w:t xml:space="preserve">仪表盘页面是量化咨询客户关系管理系统的核心控制中心，为用户提供全面的业务数据概览和关键指标监控。用户可通过该页面快速掌握客户情况、项目进展和系统动态，并进行相应的数据操作。</w:t>
      </w:r>
    </w:p>
    <w:p>
      <w:pPr>
        <w:pStyle w:val="a0"/>
      </w:pPr>
      <w:r>
        <w:t xml:space="preserve">进入页面后，首先查看顶部的核心指标卡片区域，这里实时展示四个关键业务指标：</w:t>
      </w:r>
      <w:r>
        <w:t xml:space="preserve"> </w:t>
      </w:r>
      <w:r>
        <w:t xml:space="preserve">- 客户总数及月度增长趋势</w:t>
      </w:r>
      <w:r>
        <w:t xml:space="preserve"> </w:t>
      </w:r>
      <w:r>
        <w:t xml:space="preserve">- 活跃项目数量及周度变化</w:t>
      </w:r>
      <w:r>
        <w:t xml:space="preserve"> </w:t>
      </w:r>
      <w:r>
        <w:t xml:space="preserve">- 待处理提醒的紧急事项数量</w:t>
      </w:r>
      <w:r>
        <w:t xml:space="preserve"> </w:t>
      </w:r>
      <w:r>
        <w:t xml:space="preserve">- 本月新增客户及转化率情况</w:t>
      </w:r>
    </w:p>
    <w:p>
      <w:pPr>
        <w:pStyle w:val="a0"/>
      </w:pPr>
      <w:r>
        <w:t xml:space="preserve">页面右上角提供两个主要操作按钮：</w:t>
      </w:r>
      <w:r>
        <w:t xml:space="preserve"> </w:t>
      </w:r>
      <w:r>
        <w:t xml:space="preserve">- 点击”刷新数据”按钮可手动更新所有显示数据，确保信息时效性</w:t>
      </w:r>
      <w:r>
        <w:t xml:space="preserve"> </w:t>
      </w:r>
      <w:r>
        <w:t xml:space="preserve">- 使用”导出报告”功能可将当前仪表盘数据生成分析报告并下载</w:t>
      </w:r>
    </w:p>
    <w:p>
      <w:pPr>
        <w:pStyle w:val="a0"/>
      </w:pPr>
      <w:r>
        <w:t xml:space="preserve">中部区域包含两个可视化图表：</w:t>
      </w:r>
      <w:r>
        <w:t xml:space="preserve"> </w:t>
      </w:r>
      <w:r>
        <w:t xml:space="preserve">- 左侧客户价值分析图表展示各价值层级客户的月度分布趋势，支持鼠标悬停查看详细数据</w:t>
      </w:r>
      <w:r>
        <w:t xml:space="preserve"> </w:t>
      </w:r>
      <w:r>
        <w:t xml:space="preserve">- 右侧风险等级分布饼图直观呈现客户风险构成，点击图例可筛选特定风险等级</w:t>
      </w:r>
    </w:p>
    <w:p>
      <w:pPr>
        <w:pStyle w:val="a0"/>
      </w:pPr>
      <w:r>
        <w:t xml:space="preserve">下方区域分为待处理提醒和最近活动两个板块：</w:t>
      </w:r>
      <w:r>
        <w:t xml:space="preserve"> </w:t>
      </w:r>
      <w:r>
        <w:t xml:space="preserve">- 待处理提醒列表按紧急程度排序，每个提醒项包含标题、详细说明和时间标记，用户需根据紧急程度标签优先处理高优先级事项</w:t>
      </w:r>
      <w:r>
        <w:t xml:space="preserve"> </w:t>
      </w:r>
      <w:r>
        <w:t xml:space="preserve">- 最近活动记录显示系统最新动态，包括客户注册、项目更新、风险评估等操作记录</w:t>
      </w:r>
    </w:p>
    <w:p>
      <w:pPr>
        <w:pStyle w:val="a0"/>
      </w:pPr>
      <w:r>
        <w:t xml:space="preserve">页面支持响应式布局，当调整浏览器窗口大小时，所有图表会自动适配显示区域。用户应定期查看待处理提醒并及时响应，同时通过导出报告功能保存重要数据快照。</w:t>
      </w:r>
    </w:p>
    <w:bookmarkEnd w:id="86"/>
    <w:bookmarkEnd w:id="87"/>
    <w:bookmarkStart w:id="104" w:name="客户管理"/>
    <w:p>
      <w:pPr>
        <w:pStyle w:val="3"/>
      </w:pPr>
      <w:r>
        <w:t xml:space="preserve">6.3 客户管理</w:t>
      </w:r>
    </w:p>
    <w:bookmarkStart w:id="91" w:name="客户列表"/>
    <w:p>
      <w:pPr>
        <w:pStyle w:val="4"/>
      </w:pPr>
      <w:r>
        <w:t xml:space="preserve">6.3.1 客户列表</w:t>
      </w:r>
    </w:p>
    <w:p>
      <w:pPr>
        <w:pStyle w:val="FirstParagraph"/>
      </w:pPr>
      <w:r>
        <w:t xml:space="preserve"> </w:t>
      </w:r>
    </w:p>
    <w:p>
      <w:pPr>
        <w:pStyle w:val="CaptionedFigure"/>
      </w:pPr>
      <w:r>
        <w:drawing>
          <wp:inline>
            <wp:extent cx="5270500" cy="2964656"/>
            <wp:effectExtent b="0" l="0" r="0" t="0"/>
            <wp:docPr descr="customer_list_screenshot.png" title="" id="89" name="Picture"/>
            <a:graphic>
              <a:graphicData uri="http://schemas.openxmlformats.org/drawingml/2006/picture">
                <pic:pic>
                  <pic:nvPicPr>
                    <pic:cNvPr descr="output/95bb2b01/src/preview/screenshots/customer_list_screenshot.png" id="90" name="Picture"/>
                    <pic:cNvPicPr>
                      <a:picLocks noChangeArrowheads="1" noChangeAspect="1"/>
                    </pic:cNvPicPr>
                  </pic:nvPicPr>
                  <pic:blipFill>
                    <a:blip r:embed="rId88"/>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customer_list_screenshot.png</w:t>
      </w:r>
    </w:p>
    <w:p>
      <w:pPr>
        <w:pStyle w:val="a0"/>
      </w:pPr>
      <w:r>
        <w:t xml:space="preserve"> </w:t>
      </w:r>
      <w:r>
        <w:t xml:space="preserve"> </w:t>
      </w:r>
      <w:r>
        <w:t xml:space="preserve">本页面是量化咨询客户关系管理系统的客户数据管理核心界面，提供了全面的客户信息查看、筛选和管理功能。</w:t>
      </w:r>
    </w:p>
    <w:p>
      <w:pPr>
        <w:pStyle w:val="a0"/>
      </w:pPr>
      <w:r>
        <w:t xml:space="preserve">进入页面后，首先可以看到顶部的客户数据统计概览，包括总客户数、高价值客户、活跃客户和风险客户的数量，便于快速掌握整体客户状况。页面右上角提供了“导入客户”和“新增客户”两个主要操作按钮。</w:t>
      </w:r>
    </w:p>
    <w:p>
      <w:pPr>
        <w:pStyle w:val="a0"/>
      </w:pPr>
      <w:r>
        <w:t xml:space="preserve">要添加新客户，请点击“新增客户”按钮，在弹出的表单中填写客户姓名、联系电话、邮箱地址等基本信息，并设置客户等级和咨询项目，完成后点击保存即可。如需批量添加客户，可使用“导入客户”功能，先下载模板文件，按照格式填写客户信息后上传。</w:t>
      </w:r>
    </w:p>
    <w:p>
      <w:pPr>
        <w:pStyle w:val="a0"/>
      </w:pPr>
      <w:r>
        <w:t xml:space="preserve">在搜索和筛选区域，您可以通过客户姓名、电话或邮箱进行关键词搜索，同时支持按客户等级、风险等级和客户状态进行多维度筛选，帮助快速定位目标客户群体。</w:t>
      </w:r>
    </w:p>
    <w:p>
      <w:pPr>
        <w:pStyle w:val="a0"/>
      </w:pPr>
      <w:r>
        <w:t xml:space="preserve">客户信息表格展示了详细的客户列表，每个客户条目包含基本信息、等级标识、咨询项目和状态等。表格支持单选和多选操作，选中客户后可使用“批量操作”功能进行发送邮件、批量打标签、分配顾问或批量删除等操作。对于单个客户，可通过每行右侧的操作按钮查看详细档案、编辑信息或删除记录。</w:t>
      </w:r>
    </w:p>
    <w:p>
      <w:pPr>
        <w:pStyle w:val="a0"/>
      </w:pPr>
      <w:r>
        <w:t xml:space="preserve">表格底部提供分页导航，方便浏览大量客户数据。整个页面设计注重数据安全与操作效率，确保用户能够高效地管理和维护客户信息。</w:t>
      </w:r>
    </w:p>
    <w:bookmarkEnd w:id="91"/>
    <w:bookmarkStart w:id="95" w:name="客户档案"/>
    <w:p>
      <w:pPr>
        <w:pStyle w:val="4"/>
      </w:pPr>
      <w:r>
        <w:t xml:space="preserve">6.3.2 客户档案</w:t>
      </w:r>
    </w:p>
    <w:p>
      <w:pPr>
        <w:pStyle w:val="FirstParagraph"/>
      </w:pPr>
      <w:r>
        <w:t xml:space="preserve"> </w:t>
      </w:r>
    </w:p>
    <w:p>
      <w:pPr>
        <w:pStyle w:val="CaptionedFigure"/>
      </w:pPr>
      <w:r>
        <w:drawing>
          <wp:inline>
            <wp:extent cx="5270500" cy="4488160"/>
            <wp:effectExtent b="0" l="0" r="0" t="0"/>
            <wp:docPr descr="customer_profile_screenshot.png" title="" id="93" name="Picture"/>
            <a:graphic>
              <a:graphicData uri="http://schemas.openxmlformats.org/drawingml/2006/picture">
                <pic:pic>
                  <pic:nvPicPr>
                    <pic:cNvPr descr="output/95bb2b01/src/preview/screenshots/customer_profile_screenshot.png" id="94" name="Picture"/>
                    <pic:cNvPicPr>
                      <a:picLocks noChangeArrowheads="1" noChangeAspect="1"/>
                    </pic:cNvPicPr>
                  </pic:nvPicPr>
                  <pic:blipFill>
                    <a:blip r:embed="rId92"/>
                    <a:stretch>
                      <a:fillRect/>
                    </a:stretch>
                  </pic:blipFill>
                  <pic:spPr bwMode="auto">
                    <a:xfrm>
                      <a:off x="0" y="0"/>
                      <a:ext cx="5270500" cy="4488160"/>
                    </a:xfrm>
                    <a:prstGeom prst="rect">
                      <a:avLst/>
                    </a:prstGeom>
                    <a:noFill/>
                    <a:ln w="9525">
                      <a:noFill/>
                      <a:headEnd/>
                      <a:tailEnd/>
                    </a:ln>
                  </pic:spPr>
                </pic:pic>
              </a:graphicData>
            </a:graphic>
          </wp:inline>
        </w:drawing>
      </w:r>
    </w:p>
    <w:p>
      <w:pPr>
        <w:pStyle w:val="ImageCaption"/>
      </w:pPr>
      <w:r>
        <w:t xml:space="preserve">customer_profile_screenshot.png</w:t>
      </w:r>
    </w:p>
    <w:p>
      <w:pPr>
        <w:pStyle w:val="a0"/>
      </w:pPr>
      <w:r>
        <w:t xml:space="preserve"> </w:t>
      </w:r>
      <w:r>
        <w:t xml:space="preserve"> </w:t>
      </w:r>
      <w:r>
        <w:t xml:space="preserve">本页面为量化咨询客户关系管理系统的客户档案详情页，用于集中展示和管理特定客户的全面信息。用户可通过此页面执行以下核心操作：</w:t>
      </w:r>
    </w:p>
    <w:p>
      <w:pPr>
        <w:pStyle w:val="a0"/>
      </w:pPr>
      <w:r>
        <w:t xml:space="preserve">页面顶部提供了导航与编辑功能，点击“返回列表”按钮可退出当前详情页，回到客户列表视图。点击“编辑信息”按钮则可进入客户基本资料的修改模式，对姓名、联系方式等字段进行更新。</w:t>
      </w:r>
    </w:p>
    <w:p>
      <w:pPr>
        <w:pStyle w:val="a0"/>
      </w:pPr>
      <w:r>
        <w:t xml:space="preserve">页面主体分为左右两部分。左侧“基本信息”卡片详细展示了客户的静态资料，包括编号、等级及备注等。右侧区域则集成了系统的量化分析功能，上方“客户价值分析”卡片以数字和等级形式直观呈现了客户的综合价值与风险评级；下方“客户标签”区域则通过多个标签对客户特征进行了分类标记。</w:t>
      </w:r>
    </w:p>
    <w:p>
      <w:pPr>
        <w:pStyle w:val="a0"/>
      </w:pPr>
      <w:r>
        <w:t xml:space="preserve">中部“历史咨询记录”表格记录了与客户的所有互动历史。用户可以：</w:t>
      </w:r>
      <w:r>
        <w:t xml:space="preserve"> </w:t>
      </w:r>
      <w:r>
        <w:t xml:space="preserve">- 点击每条记录右侧的“眼睛”图标查看咨询详情</w:t>
      </w:r>
      <w:r>
        <w:t xml:space="preserve"> </w:t>
      </w:r>
      <w:r>
        <w:t xml:space="preserve">- 点击“下载”图标导出该次咨询的记录文档</w:t>
      </w:r>
      <w:r>
        <w:t xml:space="preserve"> </w:t>
      </w:r>
      <w:r>
        <w:t xml:space="preserve">- 点击表格右上角的“添加记录”按钮创建新的咨询记录</w:t>
      </w:r>
    </w:p>
    <w:p>
      <w:pPr>
        <w:pStyle w:val="a0"/>
      </w:pPr>
      <w:r>
        <w:t xml:space="preserve">页面底部的“量化分析报告”区域通过可视化图表动态展示了客户价值趋势、风险等级分布及潜在需求分析。其中，潜在需求部分使用进度条清晰显示了客户对不同咨询服务的需求强度，为后续服务提供了数据支持。</w:t>
      </w:r>
    </w:p>
    <w:p>
      <w:pPr>
        <w:pStyle w:val="a0"/>
      </w:pPr>
      <w:r>
        <w:t xml:space="preserve">所有图表均支持响应式调整，当浏览器窗口大小变化时会自动重绘以确保最佳显示效果。整个页面设计遵循了数据驱动决策的理念，将客户档案、咨询历史与量化分析深度融合。</w:t>
      </w:r>
    </w:p>
    <w:bookmarkEnd w:id="95"/>
    <w:bookmarkStart w:id="99" w:name="客户导入"/>
    <w:p>
      <w:pPr>
        <w:pStyle w:val="4"/>
      </w:pPr>
      <w:r>
        <w:t xml:space="preserve">6.3.3 客户导入</w:t>
      </w:r>
    </w:p>
    <w:p>
      <w:pPr>
        <w:pStyle w:val="FirstParagraph"/>
      </w:pPr>
      <w:r>
        <w:t xml:space="preserve"> </w:t>
      </w:r>
    </w:p>
    <w:p>
      <w:pPr>
        <w:pStyle w:val="CaptionedFigure"/>
      </w:pPr>
      <w:r>
        <w:drawing>
          <wp:inline>
            <wp:extent cx="5270500" cy="4683058"/>
            <wp:effectExtent b="0" l="0" r="0" t="0"/>
            <wp:docPr descr="customer_import_screenshot.png" title="" id="97" name="Picture"/>
            <a:graphic>
              <a:graphicData uri="http://schemas.openxmlformats.org/drawingml/2006/picture">
                <pic:pic>
                  <pic:nvPicPr>
                    <pic:cNvPr descr="output/95bb2b01/src/preview/screenshots/customer_import_screenshot.png" id="98" name="Picture"/>
                    <pic:cNvPicPr>
                      <a:picLocks noChangeArrowheads="1" noChangeAspect="1"/>
                    </pic:cNvPicPr>
                  </pic:nvPicPr>
                  <pic:blipFill>
                    <a:blip r:embed="rId96"/>
                    <a:stretch>
                      <a:fillRect/>
                    </a:stretch>
                  </pic:blipFill>
                  <pic:spPr bwMode="auto">
                    <a:xfrm>
                      <a:off x="0" y="0"/>
                      <a:ext cx="5270500" cy="4683058"/>
                    </a:xfrm>
                    <a:prstGeom prst="rect">
                      <a:avLst/>
                    </a:prstGeom>
                    <a:noFill/>
                    <a:ln w="9525">
                      <a:noFill/>
                      <a:headEnd/>
                      <a:tailEnd/>
                    </a:ln>
                  </pic:spPr>
                </pic:pic>
              </a:graphicData>
            </a:graphic>
          </wp:inline>
        </w:drawing>
      </w:r>
    </w:p>
    <w:p>
      <w:pPr>
        <w:pStyle w:val="ImageCaption"/>
      </w:pPr>
      <w:r>
        <w:t xml:space="preserve">customer_import_screenshot.png</w:t>
      </w:r>
    </w:p>
    <w:p>
      <w:pPr>
        <w:pStyle w:val="a0"/>
      </w:pPr>
      <w:r>
        <w:t xml:space="preserve"> </w:t>
      </w:r>
      <w:r>
        <w:t xml:space="preserve"> </w:t>
      </w:r>
      <w:r>
        <w:t xml:space="preserve">客户导入页面提供了完整的批量客户数据导入功能，操作流程分为四个主要步骤。</w:t>
      </w:r>
    </w:p>
    <w:p>
      <w:pPr>
        <w:pStyle w:val="a0"/>
      </w:pPr>
      <w:r>
        <w:t xml:space="preserve">首先需要下载导入模板，点击”下载Excel模板”按钮获取标准格式文件。模板包含客户基本信息、历史咨询记录和需求偏好等字段，请严格按照模板格式填写数据。</w:t>
      </w:r>
    </w:p>
    <w:p>
      <w:pPr>
        <w:pStyle w:val="a0"/>
      </w:pPr>
      <w:r>
        <w:t xml:space="preserve">完成数据准备后，进入上传环节：</w:t>
      </w:r>
      <w:r>
        <w:t xml:space="preserve"> </w:t>
      </w:r>
      <w:r>
        <w:t xml:space="preserve">- 点击”选择Excel文件”按钮上传填写好的模板文件</w:t>
      </w:r>
      <w:r>
        <w:t xml:space="preserve"> </w:t>
      </w:r>
      <w:r>
        <w:t xml:space="preserve">- 系统支持.xlsx和.xls格式文件</w:t>
      </w:r>
      <w:r>
        <w:t xml:space="preserve"> </w:t>
      </w:r>
      <w:r>
        <w:t xml:space="preserve">- 如存在重复客户记录，可勾选”覆盖重复客户记录”选项</w:t>
      </w:r>
      <w:r>
        <w:t xml:space="preserve"> </w:t>
      </w:r>
      <w:r>
        <w:t xml:space="preserve">- 确认无误后点击”开始导入”按钮提交数据</w:t>
      </w:r>
    </w:p>
    <w:p>
      <w:pPr>
        <w:pStyle w:val="a0"/>
      </w:pPr>
      <w:r>
        <w:t xml:space="preserve">系统会自动进行数据校验，校验结果将实时显示：</w:t>
      </w:r>
      <w:r>
        <w:t xml:space="preserve"> </w:t>
      </w:r>
      <w:r>
        <w:t xml:space="preserve">- 错误数据会以表格形式列出，包含行号、字段名、错误类型和详细描述</w:t>
      </w:r>
      <w:r>
        <w:t xml:space="preserve"> </w:t>
      </w:r>
      <w:r>
        <w:t xml:space="preserve">- 常见错误包括格式错误、缺失数据和长度超限等</w:t>
      </w:r>
      <w:r>
        <w:t xml:space="preserve"> </w:t>
      </w:r>
      <w:r>
        <w:t xml:space="preserve">- 请根据错误提示修正数据后重新上传</w:t>
      </w:r>
    </w:p>
    <w:p>
      <w:pPr>
        <w:pStyle w:val="a0"/>
      </w:pPr>
      <w:r>
        <w:t xml:space="preserve">导入过程中可实时查看进度：</w:t>
      </w:r>
      <w:r>
        <w:t xml:space="preserve"> </w:t>
      </w:r>
      <w:r>
        <w:t xml:space="preserve">- 进度条显示当前导入百分比</w:t>
      </w:r>
      <w:r>
        <w:t xml:space="preserve"> </w:t>
      </w:r>
      <w:r>
        <w:t xml:space="preserve">- 统计面板展示总记录数、成功导入数、失败记录数和待处理数</w:t>
      </w:r>
      <w:r>
        <w:t xml:space="preserve"> </w:t>
      </w:r>
      <w:r>
        <w:t xml:space="preserve">- 页面底部提供导入历史记录，可查看过往导入任务的状态和详情</w:t>
      </w:r>
    </w:p>
    <w:p>
      <w:pPr>
        <w:pStyle w:val="a0"/>
      </w:pPr>
      <w:r>
        <w:t xml:space="preserve">注意事项：建议在上传前仔细核对数据格式，确保客户邮箱、手机号码等关键字段符合规范要求。如遇校验错误，请根据具体提示修正对应行数据。</w:t>
      </w:r>
    </w:p>
    <w:bookmarkEnd w:id="99"/>
    <w:bookmarkStart w:id="103" w:name="客户标签"/>
    <w:p>
      <w:pPr>
        <w:pStyle w:val="4"/>
      </w:pPr>
      <w:r>
        <w:t xml:space="preserve">6.3.4 客户标签</w:t>
      </w:r>
    </w:p>
    <w:p>
      <w:pPr>
        <w:pStyle w:val="FirstParagraph"/>
      </w:pPr>
      <w:r>
        <w:t xml:space="preserve"> </w:t>
      </w:r>
    </w:p>
    <w:p>
      <w:pPr>
        <w:pStyle w:val="CaptionedFigure"/>
      </w:pPr>
      <w:r>
        <w:drawing>
          <wp:inline>
            <wp:extent cx="5270500" cy="2964656"/>
            <wp:effectExtent b="0" l="0" r="0" t="0"/>
            <wp:docPr descr="customer_tags_screenshot.png" title="" id="101" name="Picture"/>
            <a:graphic>
              <a:graphicData uri="http://schemas.openxmlformats.org/drawingml/2006/picture">
                <pic:pic>
                  <pic:nvPicPr>
                    <pic:cNvPr descr="output/95bb2b01/src/preview/screenshots/customer_tags_screenshot.png" id="102" name="Picture"/>
                    <pic:cNvPicPr>
                      <a:picLocks noChangeArrowheads="1" noChangeAspect="1"/>
                    </pic:cNvPicPr>
                  </pic:nvPicPr>
                  <pic:blipFill>
                    <a:blip r:embed="rId100"/>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customer_tags_screenshot.png</w:t>
      </w:r>
    </w:p>
    <w:p>
      <w:pPr>
        <w:pStyle w:val="a0"/>
      </w:pPr>
      <w:r>
        <w:t xml:space="preserve"> </w:t>
      </w:r>
      <w:r>
        <w:t xml:space="preserve"> </w:t>
      </w:r>
      <w:r>
        <w:t xml:space="preserve">本页面为量化咨询客户关系管理系统的客户标签管理模块，主要用于客户分类标签的创建、编辑、删除和统计分析。用户可通过此页面精细化管理客户标签体系，以支持客户数据分类与量化分析。</w:t>
      </w:r>
    </w:p>
    <w:p>
      <w:pPr>
        <w:pStyle w:val="a0"/>
      </w:pPr>
      <w:r>
        <w:t xml:space="preserve">页面顶部展示了关键统计数据卡片，包括总标签数、已分配客户数和活跃标签数，帮助用户快速了解标签使用概况。右侧操作区域提供“添加标签”和“导出”功能按钮，支持新建标签和数据导出操作。</w:t>
      </w:r>
    </w:p>
    <w:p>
      <w:pPr>
        <w:pStyle w:val="a0"/>
      </w:pPr>
      <w:r>
        <w:t xml:space="preserve">核心操作区域为标签列表表格，展示所有现有标签的详细信息，包括标签名称、描述、颜色标识、图标、关联客户数量及创建时间。用户可通过表格行末的操作按钮对每个标签执行编辑或删除操作：</w:t>
      </w:r>
    </w:p>
    <w:p>
      <w:pPr>
        <w:numPr>
          <w:ilvl w:val="0"/>
          <w:numId w:val="1031"/>
        </w:numPr>
        <w:pStyle w:val="Compact"/>
      </w:pPr>
      <w:r>
        <w:t xml:space="preserve">点击编辑按钮（铅笔图标）将打开标签编辑模态框</w:t>
      </w:r>
    </w:p>
    <w:p>
      <w:pPr>
        <w:numPr>
          <w:ilvl w:val="0"/>
          <w:numId w:val="1031"/>
        </w:numPr>
        <w:pStyle w:val="Compact"/>
      </w:pPr>
      <w:r>
        <w:t xml:space="preserve">点击删除按钮（垃圾桶图标）将弹出删除确认对话框</w:t>
      </w:r>
    </w:p>
    <w:p>
      <w:pPr>
        <w:pStyle w:val="FirstParagraph"/>
      </w:pPr>
      <w:r>
        <w:t xml:space="preserve">添加或编辑标签时，系统提供完整的表单配置项：</w:t>
      </w:r>
      <w:r>
        <w:t xml:space="preserve"> </w:t>
      </w:r>
      <w:r>
        <w:t xml:space="preserve">- 输入标签名称和描述信息</w:t>
      </w:r>
      <w:r>
        <w:t xml:space="preserve"> </w:t>
      </w:r>
      <w:r>
        <w:t xml:space="preserve">- 通过颜色选择器定义标签显示颜色</w:t>
      </w:r>
      <w:r>
        <w:t xml:space="preserve"> </w:t>
      </w:r>
      <w:r>
        <w:t xml:space="preserve">- 从预设图标库中选择对应图标</w:t>
      </w:r>
      <w:r>
        <w:t xml:space="preserve"> </w:t>
      </w:r>
      <w:r>
        <w:t xml:space="preserve">- 设置标签启用状态</w:t>
      </w:r>
    </w:p>
    <w:p>
      <w:pPr>
        <w:pStyle w:val="a0"/>
      </w:pPr>
      <w:r>
        <w:t xml:space="preserve">所有修改操作均通过模态框形式进行，确保操作流程的连贯性。系统还提供分页导航功能，便于用户浏览大量标签数据。标签管理功能直接服务于客户分类体系，为后续的客户价值分析和精准服务提供数据支撑。</w:t>
      </w:r>
    </w:p>
    <w:bookmarkEnd w:id="103"/>
    <w:bookmarkEnd w:id="104"/>
    <w:bookmarkStart w:id="121" w:name="量化分析"/>
    <w:p>
      <w:pPr>
        <w:pStyle w:val="3"/>
      </w:pPr>
      <w:r>
        <w:t xml:space="preserve">6.4 量化分析</w:t>
      </w:r>
    </w:p>
    <w:bookmarkStart w:id="108" w:name="客户价值分析"/>
    <w:p>
      <w:pPr>
        <w:pStyle w:val="4"/>
      </w:pPr>
      <w:r>
        <w:t xml:space="preserve">6.4.1 客户价值分析</w:t>
      </w:r>
    </w:p>
    <w:p>
      <w:pPr>
        <w:pStyle w:val="FirstParagraph"/>
      </w:pPr>
      <w:r>
        <w:t xml:space="preserve"> </w:t>
      </w:r>
    </w:p>
    <w:p>
      <w:pPr>
        <w:pStyle w:val="CaptionedFigure"/>
      </w:pPr>
      <w:r>
        <w:drawing>
          <wp:inline>
            <wp:extent cx="5270500" cy="3590528"/>
            <wp:effectExtent b="0" l="0" r="0" t="0"/>
            <wp:docPr descr="analysis_value_screenshot.png" title="" id="106" name="Picture"/>
            <a:graphic>
              <a:graphicData uri="http://schemas.openxmlformats.org/drawingml/2006/picture">
                <pic:pic>
                  <pic:nvPicPr>
                    <pic:cNvPr descr="output/95bb2b01/src/preview/screenshots/analysis_value_screenshot.png" id="107" name="Picture"/>
                    <pic:cNvPicPr>
                      <a:picLocks noChangeArrowheads="1" noChangeAspect="1"/>
                    </pic:cNvPicPr>
                  </pic:nvPicPr>
                  <pic:blipFill>
                    <a:blip r:embed="rId105"/>
                    <a:stretch>
                      <a:fillRect/>
                    </a:stretch>
                  </pic:blipFill>
                  <pic:spPr bwMode="auto">
                    <a:xfrm>
                      <a:off x="0" y="0"/>
                      <a:ext cx="5270500" cy="3590528"/>
                    </a:xfrm>
                    <a:prstGeom prst="rect">
                      <a:avLst/>
                    </a:prstGeom>
                    <a:noFill/>
                    <a:ln w="9525">
                      <a:noFill/>
                      <a:headEnd/>
                      <a:tailEnd/>
                    </a:ln>
                  </pic:spPr>
                </pic:pic>
              </a:graphicData>
            </a:graphic>
          </wp:inline>
        </w:drawing>
      </w:r>
    </w:p>
    <w:p>
      <w:pPr>
        <w:pStyle w:val="ImageCaption"/>
      </w:pPr>
      <w:r>
        <w:t xml:space="preserve">analysis_value_screenshot.png</w:t>
      </w:r>
    </w:p>
    <w:p>
      <w:pPr>
        <w:pStyle w:val="a0"/>
      </w:pPr>
      <w:r>
        <w:t xml:space="preserve"> </w:t>
      </w:r>
      <w:r>
        <w:t xml:space="preserve"> </w:t>
      </w:r>
      <w:r>
        <w:t xml:space="preserve">进入客户价值分析页面后，您将首先看到顶部的四个关键指标卡片，它们直观地展示了总客户数、平均价值评分、高价值客户数量和总贡献度，为您提供核心数据的概览。</w:t>
      </w:r>
    </w:p>
    <w:p>
      <w:pPr>
        <w:pStyle w:val="a0"/>
      </w:pPr>
      <w:r>
        <w:t xml:space="preserve">页面中部是图表分析区域，左侧的柱状图展示了客户在不同价值分数区间的分布情况，右侧的饼图则清晰呈现了各价值等级客户的占比。您可以通过悬停鼠标来查看每个数据点的具体数值。</w:t>
      </w:r>
    </w:p>
    <w:p>
      <w:pPr>
        <w:pStyle w:val="a0"/>
      </w:pPr>
      <w:r>
        <w:t xml:space="preserve">页面下方是详细的客户价值列表，表格中包含了每位客户的价值评分、贡献度、风险等级和最后咨询时间等关键信息。您可以通过以下方式与表格进行交互：</w:t>
      </w:r>
    </w:p>
    <w:p>
      <w:pPr>
        <w:numPr>
          <w:ilvl w:val="0"/>
          <w:numId w:val="1032"/>
        </w:numPr>
        <w:pStyle w:val="Compact"/>
      </w:pPr>
      <w:r>
        <w:t xml:space="preserve">点击表格右上角的“导出数据”按钮，可以将当前列表数据导出为文件</w:t>
      </w:r>
    </w:p>
    <w:p>
      <w:pPr>
        <w:numPr>
          <w:ilvl w:val="0"/>
          <w:numId w:val="1032"/>
        </w:numPr>
        <w:pStyle w:val="Compact"/>
      </w:pPr>
      <w:r>
        <w:t xml:space="preserve">点击“新增分析”按钮，可以启动新的客户价值分析流程</w:t>
      </w:r>
    </w:p>
    <w:p>
      <w:pPr>
        <w:numPr>
          <w:ilvl w:val="0"/>
          <w:numId w:val="1032"/>
        </w:numPr>
        <w:pStyle w:val="Compact"/>
      </w:pPr>
      <w:r>
        <w:t xml:space="preserve">在表格的“操作”列中，点击“详情”按钮可以查看特定客户的详细信息</w:t>
      </w:r>
    </w:p>
    <w:p>
      <w:pPr>
        <w:numPr>
          <w:ilvl w:val="0"/>
          <w:numId w:val="1032"/>
        </w:numPr>
        <w:pStyle w:val="Compact"/>
      </w:pPr>
      <w:r>
        <w:t xml:space="preserve">使用底部的分页控件可以浏览更多的客户记录</w:t>
      </w:r>
    </w:p>
    <w:p>
      <w:pPr>
        <w:pStyle w:val="FirstParagraph"/>
      </w:pPr>
      <w:r>
        <w:t xml:space="preserve">所有图表都支持响应式显示，当调整浏览器窗口大小时，图表会自动适应新的尺寸。通过这个页面，您可以全面掌握客户价值状况，为业务决策提供数据支持。</w:t>
      </w:r>
    </w:p>
    <w:bookmarkEnd w:id="108"/>
    <w:bookmarkStart w:id="112" w:name="风险评估"/>
    <w:p>
      <w:pPr>
        <w:pStyle w:val="4"/>
      </w:pPr>
      <w:r>
        <w:t xml:space="preserve">6.4.2 风险评估</w:t>
      </w:r>
    </w:p>
    <w:p>
      <w:pPr>
        <w:pStyle w:val="FirstParagraph"/>
      </w:pPr>
      <w:r>
        <w:t xml:space="preserve"> </w:t>
      </w:r>
    </w:p>
    <w:p>
      <w:pPr>
        <w:pStyle w:val="CaptionedFigure"/>
      </w:pPr>
      <w:r>
        <w:drawing>
          <wp:inline>
            <wp:extent cx="5270500" cy="3714055"/>
            <wp:effectExtent b="0" l="0" r="0" t="0"/>
            <wp:docPr descr="analysis_risk_screenshot.png" title="" id="110" name="Picture"/>
            <a:graphic>
              <a:graphicData uri="http://schemas.openxmlformats.org/drawingml/2006/picture">
                <pic:pic>
                  <pic:nvPicPr>
                    <pic:cNvPr descr="output/95bb2b01/src/preview/screenshots/analysis_risk_screenshot.png" id="111" name="Picture"/>
                    <pic:cNvPicPr>
                      <a:picLocks noChangeArrowheads="1" noChangeAspect="1"/>
                    </pic:cNvPicPr>
                  </pic:nvPicPr>
                  <pic:blipFill>
                    <a:blip r:embed="rId109"/>
                    <a:stretch>
                      <a:fillRect/>
                    </a:stretch>
                  </pic:blipFill>
                  <pic:spPr bwMode="auto">
                    <a:xfrm>
                      <a:off x="0" y="0"/>
                      <a:ext cx="5270500" cy="3714055"/>
                    </a:xfrm>
                    <a:prstGeom prst="rect">
                      <a:avLst/>
                    </a:prstGeom>
                    <a:noFill/>
                    <a:ln w="9525">
                      <a:noFill/>
                      <a:headEnd/>
                      <a:tailEnd/>
                    </a:ln>
                  </pic:spPr>
                </pic:pic>
              </a:graphicData>
            </a:graphic>
          </wp:inline>
        </w:drawing>
      </w:r>
    </w:p>
    <w:p>
      <w:pPr>
        <w:pStyle w:val="ImageCaption"/>
      </w:pPr>
      <w:r>
        <w:t xml:space="preserve">analysis_risk_screenshot.png</w:t>
      </w:r>
    </w:p>
    <w:p>
      <w:pPr>
        <w:pStyle w:val="a0"/>
      </w:pPr>
      <w:r>
        <w:t xml:space="preserve"> </w:t>
      </w:r>
      <w:r>
        <w:t xml:space="preserve"> </w:t>
      </w:r>
      <w:r>
        <w:t xml:space="preserve">风险评估页面提供客户风险等级分析和量化评估功能。用户首先查看页面顶部的风险概览卡片，了解高风险、中风险、低风险和待评估客户的数量分布情况。每个风险等级通过不同颜色的卡片和图标直观展示，帮助用户快速掌握整体风险状况。</w:t>
      </w:r>
    </w:p>
    <w:p>
      <w:pPr>
        <w:pStyle w:val="a0"/>
      </w:pPr>
      <w:r>
        <w:t xml:space="preserve">在风险分析图表区域，左侧柱状图展示客户风险等级随时间的变化趋势，用户可观察各月份不同风险等级客户的分布情况。右侧饼图显示风险因素权重分析，清晰呈现财务状况、经营风险、市场环境等主要风险因素的占比关系。</w:t>
      </w:r>
    </w:p>
    <w:p>
      <w:pPr>
        <w:pStyle w:val="a0"/>
      </w:pPr>
      <w:r>
        <w:t xml:space="preserve">用户可通过客户风险评估列表进行详细数据查询和筛选：</w:t>
      </w:r>
      <w:r>
        <w:t xml:space="preserve"> </w:t>
      </w:r>
      <w:r>
        <w:t xml:space="preserve">- 使用搜索框输入客户名称关键词快速定位特定客户</w:t>
      </w:r>
      <w:r>
        <w:t xml:space="preserve"> </w:t>
      </w:r>
      <w:r>
        <w:t xml:space="preserve">- 通过风险等级下拉菜单筛选高风险、中风险或低风险客户</w:t>
      </w:r>
      <w:r>
        <w:t xml:space="preserve"> </w:t>
      </w:r>
      <w:r>
        <w:t xml:space="preserve">- 浏览表格中的风险分数、主要风险因素和上次评估时间等详细信息</w:t>
      </w:r>
      <w:r>
        <w:t xml:space="preserve"> </w:t>
      </w:r>
      <w:r>
        <w:t xml:space="preserve">- 点击任一客户行的”查看详情”按钮获取更全面的风险评估报告</w:t>
      </w:r>
    </w:p>
    <w:p>
      <w:pPr>
        <w:pStyle w:val="a0"/>
      </w:pPr>
      <w:r>
        <w:t xml:space="preserve">页面底部提供分页导航功能，方便用户浏览更多客户数据。所有图表均支持响应式调整，确保在不同屏幕尺寸下都能清晰展示分析结果。</w:t>
      </w:r>
    </w:p>
    <w:bookmarkEnd w:id="112"/>
    <w:bookmarkStart w:id="116" w:name="需求预测"/>
    <w:p>
      <w:pPr>
        <w:pStyle w:val="4"/>
      </w:pPr>
      <w:r>
        <w:t xml:space="preserve">6.4.3 需求预测</w:t>
      </w:r>
    </w:p>
    <w:p>
      <w:pPr>
        <w:pStyle w:val="FirstParagraph"/>
      </w:pPr>
      <w:r>
        <w:t xml:space="preserve"> </w:t>
      </w:r>
    </w:p>
    <w:p>
      <w:pPr>
        <w:pStyle w:val="CaptionedFigure"/>
      </w:pPr>
      <w:r>
        <w:drawing>
          <wp:inline>
            <wp:extent cx="5270500" cy="4312476"/>
            <wp:effectExtent b="0" l="0" r="0" t="0"/>
            <wp:docPr descr="analysis_demand_screenshot.png" title="" id="114" name="Picture"/>
            <a:graphic>
              <a:graphicData uri="http://schemas.openxmlformats.org/drawingml/2006/picture">
                <pic:pic>
                  <pic:nvPicPr>
                    <pic:cNvPr descr="output/95bb2b01/src/preview/screenshots/analysis_demand_screenshot.png" id="115" name="Picture"/>
                    <pic:cNvPicPr>
                      <a:picLocks noChangeArrowheads="1" noChangeAspect="1"/>
                    </pic:cNvPicPr>
                  </pic:nvPicPr>
                  <pic:blipFill>
                    <a:blip r:embed="rId113"/>
                    <a:stretch>
                      <a:fillRect/>
                    </a:stretch>
                  </pic:blipFill>
                  <pic:spPr bwMode="auto">
                    <a:xfrm>
                      <a:off x="0" y="0"/>
                      <a:ext cx="5270500" cy="4312476"/>
                    </a:xfrm>
                    <a:prstGeom prst="rect">
                      <a:avLst/>
                    </a:prstGeom>
                    <a:noFill/>
                    <a:ln w="9525">
                      <a:noFill/>
                      <a:headEnd/>
                      <a:tailEnd/>
                    </a:ln>
                  </pic:spPr>
                </pic:pic>
              </a:graphicData>
            </a:graphic>
          </wp:inline>
        </w:drawing>
      </w:r>
    </w:p>
    <w:p>
      <w:pPr>
        <w:pStyle w:val="ImageCaption"/>
      </w:pPr>
      <w:r>
        <w:t xml:space="preserve">analysis_demand_screenshot.png</w:t>
      </w:r>
    </w:p>
    <w:p>
      <w:pPr>
        <w:pStyle w:val="a0"/>
      </w:pPr>
      <w:r>
        <w:t xml:space="preserve"> </w:t>
      </w:r>
      <w:r>
        <w:t xml:space="preserve"> </w:t>
      </w:r>
      <w:r>
        <w:t xml:space="preserve">首先在预测参数设置区域配置分析条件，通过三个下拉菜单分别选择客户细分类型、预测时间范围和产品类别。设置完成后点击”执行预测”按钮生成分析结果，系统将根据所选参数重新计算并更新页面所有数据展示区域。</w:t>
      </w:r>
    </w:p>
    <w:p>
      <w:pPr>
        <w:pStyle w:val="a0"/>
      </w:pPr>
      <w:r>
        <w:t xml:space="preserve">页面顶部的关键指标卡片会显示核心预测结果，包括平均预测概率、高意向客户数量、预期总价值和最佳接触时机。这些指标提供了对整体预测效果的快速概览，帮助用户把握全局趋势。</w:t>
      </w:r>
    </w:p>
    <w:p>
      <w:pPr>
        <w:pStyle w:val="a0"/>
      </w:pPr>
      <w:r>
        <w:t xml:space="preserve">中部图表区域通过可视化方式展示详细分析数据，左侧柱状图显示各客户的需求预测分布，右侧饼图展示不同需求类别的占比情况。用户可以通过图表交互查看具体数值和趋势变化。</w:t>
      </w:r>
    </w:p>
    <w:p>
      <w:pPr>
        <w:pStyle w:val="a0"/>
      </w:pPr>
      <w:r>
        <w:t xml:space="preserve">底部的详细预测数据表格列出了每位客户的具体预测信息，包括预测概率、预期价值和风险等级等。用户可执行以下操作：</w:t>
      </w:r>
      <w:r>
        <w:t xml:space="preserve"> </w:t>
      </w:r>
      <w:r>
        <w:t xml:space="preserve">- 使用表格上方的筛选和刷新按钮对数据进行过滤和更新</w:t>
      </w:r>
      <w:r>
        <w:t xml:space="preserve"> </w:t>
      </w:r>
      <w:r>
        <w:t xml:space="preserve">- 查看进度条形式的预测概率直观展示</w:t>
      </w:r>
      <w:r>
        <w:t xml:space="preserve"> </w:t>
      </w:r>
      <w:r>
        <w:t xml:space="preserve">- 通过风险等级标识快速识别不同风险程度的客户</w:t>
      </w:r>
      <w:r>
        <w:t xml:space="preserve"> </w:t>
      </w:r>
      <w:r>
        <w:t xml:space="preserve">- 点击每行末尾的”查看”按钮获取客户详细信息</w:t>
      </w:r>
      <w:r>
        <w:t xml:space="preserve"> </w:t>
      </w:r>
      <w:r>
        <w:t xml:space="preserve">- 使用分页功能浏览更多客户数据</w:t>
      </w:r>
    </w:p>
    <w:p>
      <w:pPr>
        <w:pStyle w:val="a0"/>
      </w:pPr>
      <w:r>
        <w:t xml:space="preserve">完成分析后，用户可点击”导出报告”按钮将当前预测结果导出为文档格式，便于进一步使用或分享。整个页面设计支持从宏观指标到微观数据的多层次分析需求。</w:t>
      </w:r>
    </w:p>
    <w:bookmarkEnd w:id="116"/>
    <w:bookmarkStart w:id="120" w:name="分析报告"/>
    <w:p>
      <w:pPr>
        <w:pStyle w:val="4"/>
      </w:pPr>
      <w:r>
        <w:t xml:space="preserve">6.4.4 分析报告</w:t>
      </w:r>
    </w:p>
    <w:p>
      <w:pPr>
        <w:pStyle w:val="FirstParagraph"/>
      </w:pPr>
      <w:r>
        <w:t xml:space="preserve"> </w:t>
      </w:r>
    </w:p>
    <w:p>
      <w:pPr>
        <w:pStyle w:val="CaptionedFigure"/>
      </w:pPr>
      <w:r>
        <w:drawing>
          <wp:inline>
            <wp:extent cx="5270500" cy="2964656"/>
            <wp:effectExtent b="0" l="0" r="0" t="0"/>
            <wp:docPr descr="analysis_reports_screenshot.png" title="" id="118" name="Picture"/>
            <a:graphic>
              <a:graphicData uri="http://schemas.openxmlformats.org/drawingml/2006/picture">
                <pic:pic>
                  <pic:nvPicPr>
                    <pic:cNvPr descr="output/95bb2b01/src/preview/screenshots/analysis_reports_screenshot.png" id="119" name="Picture"/>
                    <pic:cNvPicPr>
                      <a:picLocks noChangeArrowheads="1" noChangeAspect="1"/>
                    </pic:cNvPicPr>
                  </pic:nvPicPr>
                  <pic:blipFill>
                    <a:blip r:embed="rId117"/>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analysis_reports_screenshot.png</w:t>
      </w:r>
    </w:p>
    <w:p>
      <w:pPr>
        <w:pStyle w:val="a0"/>
      </w:pPr>
      <w:r>
        <w:t xml:space="preserve"> </w:t>
      </w:r>
      <w:r>
        <w:t xml:space="preserve"> </w:t>
      </w:r>
      <w:r>
        <w:t xml:space="preserve"> </w:t>
      </w:r>
      <w:r>
        <w:t xml:space="preserve">本页面为量化分析报告管理界面，主要功能包括生成新分析报告和查看历史报告列表。</w:t>
      </w:r>
    </w:p>
    <w:p>
      <w:pPr>
        <w:pStyle w:val="a0"/>
      </w:pPr>
      <w:r>
        <w:t xml:space="preserve">在页面顶部的”生成新报告”区域，用户可通过以下步骤创建定制化分析报告：</w:t>
      </w:r>
      <w:r>
        <w:t xml:space="preserve"> </w:t>
      </w:r>
      <w:r>
        <w:t xml:space="preserve">- 首先选择报告类型，系统提供客户价值分析、风险评估、需求预测和综合分析四种选项</w:t>
      </w:r>
      <w:r>
        <w:t xml:space="preserve"> </w:t>
      </w:r>
      <w:r>
        <w:t xml:space="preserve">- 接着设定分析的时间范围，通过日期选择器指定起止时间</w:t>
      </w:r>
      <w:r>
        <w:t xml:space="preserve"> </w:t>
      </w:r>
      <w:r>
        <w:t xml:space="preserve">- 然后选择目标客户群体，可选全部客户或按价值等级筛选</w:t>
      </w:r>
      <w:r>
        <w:t xml:space="preserve"> </w:t>
      </w:r>
      <w:r>
        <w:t xml:space="preserve">- 最后点击”生成报告”按钮提交请求，系统将基于量化模型自动生成分析结果</w:t>
      </w:r>
    </w:p>
    <w:p>
      <w:pPr>
        <w:pStyle w:val="a0"/>
      </w:pPr>
      <w:r>
        <w:t xml:space="preserve">页面下方的”报告列表”区域展示所有历史生成的分析报告，每份报告包含以下信息：</w:t>
      </w:r>
      <w:r>
        <w:t xml:space="preserve"> </w:t>
      </w:r>
      <w:r>
        <w:t xml:space="preserve">- 报告名称、类型、生成日期和覆盖客户数量</w:t>
      </w:r>
      <w:r>
        <w:t xml:space="preserve"> </w:t>
      </w:r>
      <w:r>
        <w:t xml:space="preserve">- 生成状态标识（已完成或生成中）</w:t>
      </w:r>
      <w:r>
        <w:t xml:space="preserve"> </w:t>
      </w:r>
      <w:r>
        <w:t xml:space="preserve">- 操作按钮组支持查看详情、下载报告和删除报告</w:t>
      </w:r>
    </w:p>
    <w:p>
      <w:pPr>
        <w:pStyle w:val="a0"/>
      </w:pPr>
      <w:r>
        <w:t xml:space="preserve">用户可通过筛选和排序功能快速定位目标报告，点击”查看”按钮可在弹出窗口中浏览报告详情。详情页面包含关键指标概览和三个可视化图表：</w:t>
      </w:r>
      <w:r>
        <w:t xml:space="preserve"> </w:t>
      </w:r>
      <w:r>
        <w:t xml:space="preserve">- 客户价值分布直方图</w:t>
      </w:r>
      <w:r>
        <w:t xml:space="preserve"> </w:t>
      </w:r>
      <w:r>
        <w:t xml:space="preserve">- 风险等级分布饼图</w:t>
      </w:r>
      <w:r>
        <w:t xml:space="preserve"> </w:t>
      </w:r>
      <w:r>
        <w:t xml:space="preserve">- 需求预测趋势线图</w:t>
      </w:r>
    </w:p>
    <w:p>
      <w:pPr>
        <w:pStyle w:val="a0"/>
      </w:pPr>
      <w:r>
        <w:t xml:space="preserve">在报告详情页面，用户可点击”下载PDF报告”获取完整文档。对于状态为”生成中”的报告，系统正在后台处理数据，用户需等待完成后才能查看完整内容。</w:t>
      </w:r>
    </w:p>
    <w:bookmarkEnd w:id="120"/>
    <w:bookmarkEnd w:id="121"/>
    <w:bookmarkStart w:id="138" w:name="服务流程"/>
    <w:p>
      <w:pPr>
        <w:pStyle w:val="3"/>
      </w:pPr>
      <w:r>
        <w:t xml:space="preserve">6.5 服务流程</w:t>
      </w:r>
    </w:p>
    <w:bookmarkStart w:id="125" w:name="项目管理"/>
    <w:p>
      <w:pPr>
        <w:pStyle w:val="4"/>
      </w:pPr>
      <w:r>
        <w:t xml:space="preserve">6.5.1 项目管理</w:t>
      </w:r>
    </w:p>
    <w:p>
      <w:pPr>
        <w:pStyle w:val="FirstParagraph"/>
      </w:pPr>
      <w:r>
        <w:t xml:space="preserve"> </w:t>
      </w:r>
    </w:p>
    <w:p>
      <w:pPr>
        <w:pStyle w:val="CaptionedFigure"/>
      </w:pPr>
      <w:r>
        <w:drawing>
          <wp:inline>
            <wp:extent cx="5270500" cy="3241906"/>
            <wp:effectExtent b="0" l="0" r="0" t="0"/>
            <wp:docPr descr="service_projects_screenshot.png" title="" id="123" name="Picture"/>
            <a:graphic>
              <a:graphicData uri="http://schemas.openxmlformats.org/drawingml/2006/picture">
                <pic:pic>
                  <pic:nvPicPr>
                    <pic:cNvPr descr="output/95bb2b01/src/preview/screenshots/service_projects_screenshot.png" id="124" name="Picture"/>
                    <pic:cNvPicPr>
                      <a:picLocks noChangeArrowheads="1" noChangeAspect="1"/>
                    </pic:cNvPicPr>
                  </pic:nvPicPr>
                  <pic:blipFill>
                    <a:blip r:embed="rId122"/>
                    <a:stretch>
                      <a:fillRect/>
                    </a:stretch>
                  </pic:blipFill>
                  <pic:spPr bwMode="auto">
                    <a:xfrm>
                      <a:off x="0" y="0"/>
                      <a:ext cx="5270500" cy="3241906"/>
                    </a:xfrm>
                    <a:prstGeom prst="rect">
                      <a:avLst/>
                    </a:prstGeom>
                    <a:noFill/>
                    <a:ln w="9525">
                      <a:noFill/>
                      <a:headEnd/>
                      <a:tailEnd/>
                    </a:ln>
                  </pic:spPr>
                </pic:pic>
              </a:graphicData>
            </a:graphic>
          </wp:inline>
        </w:drawing>
      </w:r>
    </w:p>
    <w:p>
      <w:pPr>
        <w:pStyle w:val="ImageCaption"/>
      </w:pPr>
      <w:r>
        <w:t xml:space="preserve">service_projects_screenshot.png</w:t>
      </w:r>
    </w:p>
    <w:p>
      <w:pPr>
        <w:pStyle w:val="a0"/>
      </w:pPr>
      <w:r>
        <w:t xml:space="preserve"> </w:t>
      </w:r>
      <w:r>
        <w:t xml:space="preserve"> </w:t>
      </w:r>
      <w:r>
        <w:t xml:space="preserve">在项目管理页面中，您可以高效地追踪和管理所有咨询项目。页面顶部提供了关键数据概览，包括全部项目、进行中、待审核和逾期项目的数量统计，使您能快速掌握整体运营状况。</w:t>
      </w:r>
    </w:p>
    <w:p>
      <w:pPr>
        <w:pStyle w:val="a0"/>
      </w:pPr>
      <w:r>
        <w:t xml:space="preserve">您可以执行以下核心操作：</w:t>
      </w:r>
      <w:r>
        <w:t xml:space="preserve"> </w:t>
      </w:r>
      <w:r>
        <w:t xml:space="preserve">- 点击“新建项目”按钮以启动新的咨询项目</w:t>
      </w:r>
      <w:r>
        <w:t xml:space="preserve"> </w:t>
      </w:r>
      <w:r>
        <w:t xml:space="preserve">- 在项目列表上方的搜索框中输入关键词来查找特定项目</w:t>
      </w:r>
      <w:r>
        <w:t xml:space="preserve"> </w:t>
      </w:r>
      <w:r>
        <w:t xml:space="preserve">- 使用状态筛选下拉菜单按项目状态（进行中、待审核、已完成、已暂停）过滤列表</w:t>
      </w:r>
    </w:p>
    <w:p>
      <w:pPr>
        <w:pStyle w:val="a0"/>
      </w:pPr>
      <w:r>
        <w:t xml:space="preserve">项目列表详细展示了每个项目的关键信息：</w:t>
      </w:r>
      <w:r>
        <w:t xml:space="preserve"> </w:t>
      </w:r>
      <w:r>
        <w:t xml:space="preserve">- 查看项目名称、关联客户、负责人和截止日期</w:t>
      </w:r>
      <w:r>
        <w:t xml:space="preserve"> </w:t>
      </w:r>
      <w:r>
        <w:t xml:space="preserve">- 通过彩色状态标签和进度条直观了解项目当前状态</w:t>
      </w:r>
      <w:r>
        <w:t xml:space="preserve"> </w:t>
      </w:r>
      <w:r>
        <w:t xml:space="preserve">- 对每个项目执行查看详情、编辑、删除等操作</w:t>
      </w:r>
      <w:r>
        <w:t xml:space="preserve"> </w:t>
      </w:r>
      <w:r>
        <w:t xml:space="preserve">- 点击眼睛图标查看项目完整信息</w:t>
      </w:r>
      <w:r>
        <w:t xml:space="preserve"> </w:t>
      </w:r>
      <w:r>
        <w:t xml:space="preserve">- 使用铅笔图标修改项目内容</w:t>
      </w:r>
      <w:r>
        <w:t xml:space="preserve"> </w:t>
      </w:r>
      <w:r>
        <w:t xml:space="preserve">- 对逾期项目可使用铃铛图标发送提醒</w:t>
      </w:r>
    </w:p>
    <w:p>
      <w:pPr>
        <w:pStyle w:val="a0"/>
      </w:pPr>
      <w:r>
        <w:t xml:space="preserve">页面底部的分页控件支持浏览更多项目记录。右侧区域通过可视化图表展示项目进度分布和状态统计，帮助您进行数据驱动的决策分析。所有交互设计均围绕提升服务流程追踪效率展开，确保您能及时响应客户需求并有效管理项目生命周期。</w:t>
      </w:r>
    </w:p>
    <w:bookmarkEnd w:id="125"/>
    <w:bookmarkStart w:id="129" w:name="流程跟踪"/>
    <w:p>
      <w:pPr>
        <w:pStyle w:val="4"/>
      </w:pPr>
      <w:r>
        <w:t xml:space="preserve">6.5.2 流程跟踪</w:t>
      </w:r>
    </w:p>
    <w:p>
      <w:pPr>
        <w:pStyle w:val="FirstParagraph"/>
      </w:pPr>
      <w:r>
        <w:t xml:space="preserve"> </w:t>
      </w:r>
    </w:p>
    <w:p>
      <w:pPr>
        <w:pStyle w:val="CaptionedFigure"/>
      </w:pPr>
      <w:r>
        <w:drawing>
          <wp:inline>
            <wp:extent cx="5270500" cy="4156008"/>
            <wp:effectExtent b="0" l="0" r="0" t="0"/>
            <wp:docPr descr="service_tracking_screenshot.png" title="" id="127" name="Picture"/>
            <a:graphic>
              <a:graphicData uri="http://schemas.openxmlformats.org/drawingml/2006/picture">
                <pic:pic>
                  <pic:nvPicPr>
                    <pic:cNvPr descr="output/95bb2b01/src/preview/screenshots/service_tracking_screenshot.png" id="128" name="Picture"/>
                    <pic:cNvPicPr>
                      <a:picLocks noChangeArrowheads="1" noChangeAspect="1"/>
                    </pic:cNvPicPr>
                  </pic:nvPicPr>
                  <pic:blipFill>
                    <a:blip r:embed="rId126"/>
                    <a:stretch>
                      <a:fillRect/>
                    </a:stretch>
                  </pic:blipFill>
                  <pic:spPr bwMode="auto">
                    <a:xfrm>
                      <a:off x="0" y="0"/>
                      <a:ext cx="5270500" cy="4156008"/>
                    </a:xfrm>
                    <a:prstGeom prst="rect">
                      <a:avLst/>
                    </a:prstGeom>
                    <a:noFill/>
                    <a:ln w="9525">
                      <a:noFill/>
                      <a:headEnd/>
                      <a:tailEnd/>
                    </a:ln>
                  </pic:spPr>
                </pic:pic>
              </a:graphicData>
            </a:graphic>
          </wp:inline>
        </w:drawing>
      </w:r>
    </w:p>
    <w:p>
      <w:pPr>
        <w:pStyle w:val="ImageCaption"/>
      </w:pPr>
      <w:r>
        <w:t xml:space="preserve">service_tracking_screenshot.png</w:t>
      </w:r>
    </w:p>
    <w:p>
      <w:pPr>
        <w:pStyle w:val="a0"/>
      </w:pPr>
      <w:r>
        <w:t xml:space="preserve"> </w:t>
      </w:r>
      <w:r>
        <w:t xml:space="preserve"> </w:t>
      </w:r>
      <w:r>
        <w:t xml:space="preserve">本页面为量化咨询客户关系管理系统的服务流程追踪模块，旨在帮助用户实时跟进咨询项目进度。页面布局清晰，分为概览、列表、详情与辅助信息四个主要区域。</w:t>
      </w:r>
    </w:p>
    <w:p>
      <w:pPr>
        <w:pStyle w:val="a0"/>
      </w:pPr>
      <w:r>
        <w:t xml:space="preserve">用户首先可通过顶部的搜索框输入项目名称或客户信息进行快速检索，也可使用筛选按钮对项目列表进行条件过滤。页面中央的概览卡片直观展示了关键业务指标，包括进行中项目数量、即将到期项目数量、已完成项目数量及平均项目周期，方便用户快速掌握整体业务状况。</w:t>
      </w:r>
    </w:p>
    <w:p>
      <w:pPr>
        <w:pStyle w:val="a0"/>
      </w:pPr>
      <w:r>
        <w:t xml:space="preserve">核心操作区域为项目列表，用户可在此查看所有当前项目的详细信息，包括项目名称、对应客户、当前阶段、进度百分比、负责人及截止日期。通过点击列表最右侧的“查看”按钮（眼睛图标），用户可以深入查看特定项目的详细流程时间线。时间线清晰展示了项目从启动到完成的各个阶段，包括已完成、进行中和待开始的步骤，并标注了各阶段的负责人和预计完成时间。</w:t>
      </w:r>
    </w:p>
    <w:p>
      <w:pPr>
        <w:pStyle w:val="a0"/>
      </w:pPr>
      <w:r>
        <w:t xml:space="preserve">页面右侧的侧边栏提供了辅助信息。项目状态分布图以可视化形式呈现了不同状态项目的占比。近期提醒区域会主动推送即将到期的任务或需要关注的动态。团队成员列表则展示了当前参与项目的核心人员及其负责的项目数量，便于内部协作与沟通。</w:t>
      </w:r>
    </w:p>
    <w:p>
      <w:pPr>
        <w:pStyle w:val="a0"/>
      </w:pPr>
      <w:r>
        <w:t xml:space="preserve">整个页面通过进度条、状态标签和时间线等多种可视化元素，使用户能够高效地监控项目进展，及时响应关键节点，确保咨询服务按时高质量交付。</w:t>
      </w:r>
    </w:p>
    <w:bookmarkEnd w:id="129"/>
    <w:bookmarkStart w:id="133" w:name="节点提醒"/>
    <w:p>
      <w:pPr>
        <w:pStyle w:val="4"/>
      </w:pPr>
      <w:r>
        <w:t xml:space="preserve">6.5.3 节点提醒</w:t>
      </w:r>
    </w:p>
    <w:p>
      <w:pPr>
        <w:pStyle w:val="FirstParagraph"/>
      </w:pPr>
      <w:r>
        <w:t xml:space="preserve"> </w:t>
      </w:r>
    </w:p>
    <w:p>
      <w:pPr>
        <w:pStyle w:val="CaptionedFigure"/>
      </w:pPr>
      <w:r>
        <w:drawing>
          <wp:inline>
            <wp:extent cx="5270500" cy="2964656"/>
            <wp:effectExtent b="0" l="0" r="0" t="0"/>
            <wp:docPr descr="service_reminders_screenshot.png" title="" id="131" name="Picture"/>
            <a:graphic>
              <a:graphicData uri="http://schemas.openxmlformats.org/drawingml/2006/picture">
                <pic:pic>
                  <pic:nvPicPr>
                    <pic:cNvPr descr="output/95bb2b01/src/preview/screenshots/service_reminders_screenshot.png" id="132" name="Picture"/>
                    <pic:cNvPicPr>
                      <a:picLocks noChangeArrowheads="1" noChangeAspect="1"/>
                    </pic:cNvPicPr>
                  </pic:nvPicPr>
                  <pic:blipFill>
                    <a:blip r:embed="rId130"/>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service_reminders_screenshot.png</w:t>
      </w:r>
    </w:p>
    <w:p>
      <w:pPr>
        <w:pStyle w:val="a0"/>
      </w:pPr>
      <w:r>
        <w:t xml:space="preserve"> </w:t>
      </w:r>
      <w:r>
        <w:t xml:space="preserve"> </w:t>
      </w:r>
      <w:r>
        <w:t xml:space="preserve">节点提醒管理页面提供了完整的提醒规则配置和管理功能。用户首先可以通过顶部的统计卡片快速了解系统提醒规则的整体情况，包括规则总数、启用状态分布以及今日待处理提醒数量。</w:t>
      </w:r>
    </w:p>
    <w:p>
      <w:pPr>
        <w:pStyle w:val="a0"/>
      </w:pPr>
      <w:r>
        <w:t xml:space="preserve">要创建新的提醒规则，请点击”添加新提醒规则”区域的折叠按钮展开表单。在表单中需要依次填写以下信息：</w:t>
      </w:r>
      <w:r>
        <w:t xml:space="preserve"> </w:t>
      </w:r>
      <w:r>
        <w:t xml:space="preserve">- 设置提醒名称和关联的具体项目</w:t>
      </w:r>
      <w:r>
        <w:t xml:space="preserve"> </w:t>
      </w:r>
      <w:r>
        <w:t xml:space="preserve">- 选择节点类型和提前提醒天数（1-30天）</w:t>
      </w:r>
      <w:r>
        <w:t xml:space="preserve"> </w:t>
      </w:r>
      <w:r>
        <w:t xml:space="preserve">- 设定优先级等级和提醒通知方式</w:t>
      </w:r>
      <w:r>
        <w:t xml:space="preserve"> </w:t>
      </w:r>
      <w:r>
        <w:t xml:space="preserve">- 选择规则启用状态并补充规则描述</w:t>
      </w:r>
      <w:r>
        <w:t xml:space="preserve"> </w:t>
      </w:r>
      <w:r>
        <w:t xml:space="preserve">完成填写后点击”保存规则”按钮提交，或使用”重置”按钮清空已填内容。</w:t>
      </w:r>
    </w:p>
    <w:p>
      <w:pPr>
        <w:pStyle w:val="a0"/>
      </w:pPr>
      <w:r>
        <w:t xml:space="preserve">页面下方的”现有提醒规则”表格展示了所有已配置的规则列表。用户可以通过搜索框快速查找特定规则，或使用筛选功能按条件过滤。表格中每条规则都清晰显示了其关键配置信息和当前状态。</w:t>
      </w:r>
    </w:p>
    <w:p>
      <w:pPr>
        <w:pStyle w:val="a0"/>
      </w:pPr>
      <w:r>
        <w:t xml:space="preserve">对于现有规则的管理操作：</w:t>
      </w:r>
      <w:r>
        <w:t xml:space="preserve"> </w:t>
      </w:r>
      <w:r>
        <w:t xml:space="preserve">- 点击编辑按钮（铅笔图标）可修改规则详情，系统会弹出编辑模态框</w:t>
      </w:r>
      <w:r>
        <w:t xml:space="preserve"> </w:t>
      </w:r>
      <w:r>
        <w:t xml:space="preserve">- 点击删除按钮（垃圾桶图标）可移除规则，操作前会弹出确认对话框</w:t>
      </w:r>
      <w:r>
        <w:t xml:space="preserve"> </w:t>
      </w:r>
      <w:r>
        <w:t xml:space="preserve">表格底部提供了分页导航，方便用户浏览大量规则记录。</w:t>
      </w:r>
    </w:p>
    <w:p>
      <w:pPr>
        <w:pStyle w:val="a0"/>
      </w:pPr>
      <w:r>
        <w:t xml:space="preserve">所有操作均采用明确的视觉反馈，启用状态使用绿色标识，禁用状态为灰色，不同优先级采用对应的颜色标签，确保用户能够快速识别规则状态。</w:t>
      </w:r>
    </w:p>
    <w:bookmarkEnd w:id="133"/>
    <w:bookmarkStart w:id="137" w:name="服务记录"/>
    <w:p>
      <w:pPr>
        <w:pStyle w:val="4"/>
      </w:pPr>
      <w:r>
        <w:t xml:space="preserve">6.5.4 服务记录</w:t>
      </w:r>
    </w:p>
    <w:p>
      <w:pPr>
        <w:pStyle w:val="FirstParagraph"/>
      </w:pPr>
      <w:r>
        <w:t xml:space="preserve"> </w:t>
      </w:r>
    </w:p>
    <w:p>
      <w:pPr>
        <w:pStyle w:val="CaptionedFigure"/>
      </w:pPr>
      <w:r>
        <w:drawing>
          <wp:inline>
            <wp:extent cx="5270500" cy="2964656"/>
            <wp:effectExtent b="0" l="0" r="0" t="0"/>
            <wp:docPr descr="service_records_screenshot.png" title="" id="135" name="Picture"/>
            <a:graphic>
              <a:graphicData uri="http://schemas.openxmlformats.org/drawingml/2006/picture">
                <pic:pic>
                  <pic:nvPicPr>
                    <pic:cNvPr descr="output/95bb2b01/src/preview/screenshots/service_records_screenshot.png" id="136" name="Picture"/>
                    <pic:cNvPicPr>
                      <a:picLocks noChangeArrowheads="1" noChangeAspect="1"/>
                    </pic:cNvPicPr>
                  </pic:nvPicPr>
                  <pic:blipFill>
                    <a:blip r:embed="rId134"/>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service_records_screenshot.png</w:t>
      </w:r>
    </w:p>
    <w:p>
      <w:pPr>
        <w:pStyle w:val="a0"/>
      </w:pPr>
      <w:r>
        <w:t xml:space="preserve"> </w:t>
      </w:r>
      <w:r>
        <w:t xml:space="preserve"> </w:t>
      </w:r>
      <w:r>
        <w:t xml:space="preserve">本页面为服务记录管理模块，主要功能包括服务记录的查询、添加、查看详情和统计分析。用户可通过系统化的操作流程对客户服务数据进行全面管理。</w:t>
      </w:r>
    </w:p>
    <w:p>
      <w:pPr>
        <w:pStyle w:val="a0"/>
      </w:pPr>
      <w:r>
        <w:t xml:space="preserve">页面顶部设有”添加服务记录”按钮，点击可打开表单弹窗录入新的服务信息。在添加记录时，需依次选择客户、填写服务日期、选择服务类型和负责人，并详细记录服务内容、成果及后续计划。</w:t>
      </w:r>
    </w:p>
    <w:p>
      <w:pPr>
        <w:pStyle w:val="a0"/>
      </w:pPr>
      <w:r>
        <w:t xml:space="preserve">筛选区域提供多种查询条件组合：</w:t>
      </w:r>
      <w:r>
        <w:t xml:space="preserve"> </w:t>
      </w:r>
      <w:r>
        <w:t xml:space="preserve">- 可按特定客户或服务类型筛选</w:t>
      </w:r>
      <w:r>
        <w:t xml:space="preserve"> </w:t>
      </w:r>
      <w:r>
        <w:t xml:space="preserve">- 支持按日期范围查询服务记录</w:t>
      </w:r>
      <w:r>
        <w:t xml:space="preserve"> </w:t>
      </w:r>
      <w:r>
        <w:t xml:space="preserve">- 通过搜索按钮执行筛选，重置按钮可清除条件</w:t>
      </w:r>
    </w:p>
    <w:p>
      <w:pPr>
        <w:pStyle w:val="a0"/>
      </w:pPr>
      <w:r>
        <w:t xml:space="preserve">统计卡片区域实时展示关键业务指标：</w:t>
      </w:r>
      <w:r>
        <w:t xml:space="preserve"> </w:t>
      </w:r>
      <w:r>
        <w:t xml:space="preserve">- 本月服务记录总数</w:t>
      </w:r>
      <w:r>
        <w:t xml:space="preserve"> </w:t>
      </w:r>
      <w:r>
        <w:t xml:space="preserve">- 进行中项目数量</w:t>
      </w:r>
      <w:r>
        <w:t xml:space="preserve"> </w:t>
      </w:r>
      <w:r>
        <w:t xml:space="preserve">- 客户满意度百分比</w:t>
      </w:r>
      <w:r>
        <w:t xml:space="preserve"> </w:t>
      </w:r>
      <w:r>
        <w:t xml:space="preserve">- 待处理事项数量</w:t>
      </w:r>
    </w:p>
    <w:p>
      <w:pPr>
        <w:pStyle w:val="a0"/>
      </w:pPr>
      <w:r>
        <w:t xml:space="preserve">服务记录表格列出所有详细数据，每行记录均提供操作按钮：</w:t>
      </w:r>
      <w:r>
        <w:t xml:space="preserve"> </w:t>
      </w:r>
      <w:r>
        <w:t xml:space="preserve">- 点击眼睛图标可查看完整服务详情</w:t>
      </w:r>
      <w:r>
        <w:t xml:space="preserve"> </w:t>
      </w:r>
      <w:r>
        <w:t xml:space="preserve">- 点击编辑图标可修改记录内容</w:t>
      </w:r>
      <w:r>
        <w:t xml:space="preserve"> </w:t>
      </w:r>
      <w:r>
        <w:t xml:space="preserve">- 表格支持按日期、客户名称、服务类型等多种排序方式</w:t>
      </w:r>
      <w:r>
        <w:t xml:space="preserve"> </w:t>
      </w:r>
      <w:r>
        <w:t xml:space="preserve">- 可通过导出功能下载数据报表</w:t>
      </w:r>
    </w:p>
    <w:p>
      <w:pPr>
        <w:pStyle w:val="a0"/>
      </w:pPr>
      <w:r>
        <w:t xml:space="preserve">注意事项：</w:t>
      </w:r>
      <w:r>
        <w:t xml:space="preserve"> </w:t>
      </w:r>
      <w:r>
        <w:t xml:space="preserve">- 查看详情模态框显示完整的服务过程记录</w:t>
      </w:r>
      <w:r>
        <w:t xml:space="preserve"> </w:t>
      </w:r>
      <w:r>
        <w:t xml:space="preserve">- 包括客户反馈、服务成果等关键信息</w:t>
      </w:r>
      <w:r>
        <w:t xml:space="preserve"> </w:t>
      </w:r>
      <w:r>
        <w:t xml:space="preserve">- 支持打印单条服务记录功能</w:t>
      </w:r>
      <w:r>
        <w:t xml:space="preserve"> </w:t>
      </w:r>
      <w:r>
        <w:t xml:space="preserve">- 分页控件便于浏览大量数据记录</w:t>
      </w:r>
    </w:p>
    <w:bookmarkEnd w:id="137"/>
    <w:bookmarkEnd w:id="138"/>
    <w:bookmarkStart w:id="151" w:name="数据权限"/>
    <w:p>
      <w:pPr>
        <w:pStyle w:val="3"/>
      </w:pPr>
      <w:r>
        <w:t xml:space="preserve">6.6 数据权限</w:t>
      </w:r>
    </w:p>
    <w:bookmarkStart w:id="142" w:name="权限管理"/>
    <w:p>
      <w:pPr>
        <w:pStyle w:val="4"/>
      </w:pPr>
      <w:r>
        <w:t xml:space="preserve">6.6.1 权限管理</w:t>
      </w:r>
    </w:p>
    <w:p>
      <w:pPr>
        <w:pStyle w:val="FirstParagraph"/>
      </w:pPr>
      <w:r>
        <w:t xml:space="preserve"> </w:t>
      </w:r>
    </w:p>
    <w:p>
      <w:pPr>
        <w:pStyle w:val="CaptionedFigure"/>
      </w:pPr>
      <w:r>
        <w:drawing>
          <wp:inline>
            <wp:extent cx="5270500" cy="3719545"/>
            <wp:effectExtent b="0" l="0" r="0" t="0"/>
            <wp:docPr descr="permission_manage_screenshot.png" title="" id="140" name="Picture"/>
            <a:graphic>
              <a:graphicData uri="http://schemas.openxmlformats.org/drawingml/2006/picture">
                <pic:pic>
                  <pic:nvPicPr>
                    <pic:cNvPr descr="output/95bb2b01/src/preview/screenshots/permission_manage_screenshot.png" id="141" name="Picture"/>
                    <pic:cNvPicPr>
                      <a:picLocks noChangeArrowheads="1" noChangeAspect="1"/>
                    </pic:cNvPicPr>
                  </pic:nvPicPr>
                  <pic:blipFill>
                    <a:blip r:embed="rId139"/>
                    <a:stretch>
                      <a:fillRect/>
                    </a:stretch>
                  </pic:blipFill>
                  <pic:spPr bwMode="auto">
                    <a:xfrm>
                      <a:off x="0" y="0"/>
                      <a:ext cx="5270500" cy="3719545"/>
                    </a:xfrm>
                    <a:prstGeom prst="rect">
                      <a:avLst/>
                    </a:prstGeom>
                    <a:noFill/>
                    <a:ln w="9525">
                      <a:noFill/>
                      <a:headEnd/>
                      <a:tailEnd/>
                    </a:ln>
                  </pic:spPr>
                </pic:pic>
              </a:graphicData>
            </a:graphic>
          </wp:inline>
        </w:drawing>
      </w:r>
    </w:p>
    <w:p>
      <w:pPr>
        <w:pStyle w:val="ImageCaption"/>
      </w:pPr>
      <w:r>
        <w:t xml:space="preserve">permission_manage_screenshot.png</w:t>
      </w:r>
    </w:p>
    <w:p>
      <w:pPr>
        <w:pStyle w:val="a0"/>
      </w:pPr>
      <w:r>
        <w:t xml:space="preserve"> </w:t>
      </w:r>
      <w:r>
        <w:t xml:space="preserve"> </w:t>
      </w:r>
      <w:r>
        <w:t xml:space="preserve">本页面是量化咨询客户关系管理系统的权限管理模块，主要用于分级管控客户数据访问权限，保障敏感信息安全。页面采用卡片式布局和表格展示，提供完整的用户权限管理功能。</w:t>
      </w:r>
    </w:p>
    <w:p>
      <w:pPr>
        <w:pStyle w:val="a0"/>
      </w:pPr>
      <w:r>
        <w:t xml:space="preserve">页面顶部显示权限概览卡片，实时统计系统用户总数及各角色分布情况。用户可通过”添加用户”按钮打开模态框，填写用户名、邮箱、角色和部门信息来创建新账户。</w:t>
      </w:r>
    </w:p>
    <w:p>
      <w:pPr>
        <w:pStyle w:val="a0"/>
      </w:pPr>
      <w:r>
        <w:t xml:space="preserve">用户权限列表区域支持搜索和筛选功能，管理员可以：</w:t>
      </w:r>
      <w:r>
        <w:t xml:space="preserve"> </w:t>
      </w:r>
      <w:r>
        <w:t xml:space="preserve">- 在搜索框中输入用户名快速定位特定用户</w:t>
      </w:r>
      <w:r>
        <w:t xml:space="preserve"> </w:t>
      </w:r>
      <w:r>
        <w:t xml:space="preserve">- 查看每个用户的详细权限信息，包括数据访问范围、操作权限和登录状态</w:t>
      </w:r>
      <w:r>
        <w:t xml:space="preserve"> </w:t>
      </w:r>
      <w:r>
        <w:t xml:space="preserve">- 通过操作列的编辑按钮修改用户权限设置</w:t>
      </w:r>
      <w:r>
        <w:t xml:space="preserve"> </w:t>
      </w:r>
      <w:r>
        <w:t xml:space="preserve">- 使用启用/禁用按钮控制用户账户状态</w:t>
      </w:r>
    </w:p>
    <w:p>
      <w:pPr>
        <w:pStyle w:val="a0"/>
      </w:pPr>
      <w:r>
        <w:t xml:space="preserve">页面下方提供两个权限设置表单：</w:t>
      </w:r>
      <w:r>
        <w:t xml:space="preserve"> </w:t>
      </w:r>
      <w:r>
        <w:t xml:space="preserve">- 数据访问权限设置：选择具体用户并设置其数据访问范围，包括全部数据、高价值客户数据、团队数据或只读权限，还可通过开关控制敏感数据访问权限</w:t>
      </w:r>
      <w:r>
        <w:t xml:space="preserve"> </w:t>
      </w:r>
      <w:r>
        <w:t xml:space="preserve">- 操作权限设置：基于角色批量配置操作权限，包括查看、编辑、删除、导出、审计和系统管理等权限，并可设置权限有效期</w:t>
      </w:r>
    </w:p>
    <w:p>
      <w:pPr>
        <w:pStyle w:val="a0"/>
      </w:pPr>
      <w:r>
        <w:t xml:space="preserve">所有权限变更都需要点击”保存设置”按钮生效。页面还提供分页导航功能，便于浏览大量用户数据。通过这种精细化的权限管理，确保不同角色的用户只能访问其职责范围内的数据和功能，有效保障客户信息安全。</w:t>
      </w:r>
    </w:p>
    <w:bookmarkEnd w:id="142"/>
    <w:bookmarkStart w:id="146" w:name="数据分级"/>
    <w:p>
      <w:pPr>
        <w:pStyle w:val="4"/>
      </w:pPr>
      <w:r>
        <w:t xml:space="preserve">6.6.2 数据分级</w:t>
      </w:r>
    </w:p>
    <w:p>
      <w:pPr>
        <w:pStyle w:val="FirstParagraph"/>
      </w:pPr>
      <w:r>
        <w:t xml:space="preserve"> </w:t>
      </w:r>
    </w:p>
    <w:p>
      <w:pPr>
        <w:pStyle w:val="CaptionedFigure"/>
      </w:pPr>
      <w:r>
        <w:drawing>
          <wp:inline>
            <wp:extent cx="5270500" cy="2964656"/>
            <wp:effectExtent b="0" l="0" r="0" t="0"/>
            <wp:docPr descr="permission_levels_screenshot.png" title="" id="144" name="Picture"/>
            <a:graphic>
              <a:graphicData uri="http://schemas.openxmlformats.org/drawingml/2006/picture">
                <pic:pic>
                  <pic:nvPicPr>
                    <pic:cNvPr descr="output/95bb2b01/src/preview/screenshots/permission_levels_screenshot.png" id="145" name="Picture"/>
                    <pic:cNvPicPr>
                      <a:picLocks noChangeArrowheads="1" noChangeAspect="1"/>
                    </pic:cNvPicPr>
                  </pic:nvPicPr>
                  <pic:blipFill>
                    <a:blip r:embed="rId143"/>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permission_levels_screenshot.png</w:t>
      </w:r>
    </w:p>
    <w:p>
      <w:pPr>
        <w:pStyle w:val="a0"/>
      </w:pPr>
      <w:r>
        <w:t xml:space="preserve"> </w:t>
      </w:r>
      <w:r>
        <w:t xml:space="preserve"> </w:t>
      </w:r>
      <w:r>
        <w:t xml:space="preserve">本页面为数据分级管理界面，主要用于定义客户数据的敏感等级和相应的访问规则，确保系统数据安全与合规性。页面分为三个主要功能区域，操作流程如下：</w:t>
      </w:r>
    </w:p>
    <w:p>
      <w:pPr>
        <w:pStyle w:val="a0"/>
      </w:pPr>
      <w:r>
        <w:t xml:space="preserve">首先，在”数据敏感等级定义”区域，您可以管理不同的数据敏感级别：</w:t>
      </w:r>
      <w:r>
        <w:t xml:space="preserve"> </w:t>
      </w:r>
      <w:r>
        <w:t xml:space="preserve">- 查看现有的四个数据等级（公开、内部、机密、绝密），每个等级都有对应的描述和敏感度进度条可视化展示</w:t>
      </w:r>
      <w:r>
        <w:t xml:space="preserve"> </w:t>
      </w:r>
      <w:r>
        <w:t xml:space="preserve">- 点击右上角”添加等级”按钮可创建新的数据敏感等级</w:t>
      </w:r>
      <w:r>
        <w:t xml:space="preserve"> </w:t>
      </w:r>
      <w:r>
        <w:t xml:space="preserve">- 对现有等级可执行编辑（铅笔图标）或删除（垃圾桶图标）操作</w:t>
      </w:r>
      <w:r>
        <w:t xml:space="preserve"> </w:t>
      </w:r>
      <w:r>
        <w:t xml:space="preserve">- 添加新等级时需要填写等级名称、描述、选择敏感度级别和颜色标识</w:t>
      </w:r>
    </w:p>
    <w:p>
      <w:pPr>
        <w:pStyle w:val="a0"/>
      </w:pPr>
      <w:r>
        <w:t xml:space="preserve">其次，在”访问规则管理”区域，您可以配置各数据等级的访问权限：</w:t>
      </w:r>
      <w:r>
        <w:t xml:space="preserve"> </w:t>
      </w:r>
      <w:r>
        <w:t xml:space="preserve">- 查看现有的访问规则，包括规则名称、适用数据等级和允许访问的角色</w:t>
      </w:r>
      <w:r>
        <w:t xml:space="preserve"> </w:t>
      </w:r>
      <w:r>
        <w:t xml:space="preserve">- 点击”添加规则”按钮可创建新的访问规则</w:t>
      </w:r>
      <w:r>
        <w:t xml:space="preserve"> </w:t>
      </w:r>
      <w:r>
        <w:t xml:space="preserve">- 添加规则时需要设置规则名称、选择适用的数据等级、勾选允许访问的角色，并填写规则描述</w:t>
      </w:r>
    </w:p>
    <w:p>
      <w:pPr>
        <w:pStyle w:val="a0"/>
      </w:pPr>
      <w:r>
        <w:t xml:space="preserve">最后，页面底部提供”数据分级统计概览”卡片，以可视化方式展示各敏感等级数据在系统中的分布比例和具体记录数量，帮助您全面了解数据安全状况。</w:t>
      </w:r>
    </w:p>
    <w:p>
      <w:pPr>
        <w:pStyle w:val="a0"/>
      </w:pPr>
      <w:r>
        <w:t xml:space="preserve">所有操作均通过模态框完成，确保交互流程清晰直观。保存前请仔细核对各项设置，确保数据访问权限配置准确无误。</w:t>
      </w:r>
    </w:p>
    <w:bookmarkEnd w:id="146"/>
    <w:bookmarkStart w:id="150" w:name="权限审计"/>
    <w:p>
      <w:pPr>
        <w:pStyle w:val="4"/>
      </w:pPr>
      <w:r>
        <w:t xml:space="preserve">6.6.3 权限审计</w:t>
      </w:r>
    </w:p>
    <w:p>
      <w:pPr>
        <w:pStyle w:val="FirstParagraph"/>
      </w:pPr>
      <w:r>
        <w:t xml:space="preserve"> </w:t>
      </w:r>
    </w:p>
    <w:p>
      <w:pPr>
        <w:pStyle w:val="CaptionedFigure"/>
      </w:pPr>
      <w:r>
        <w:drawing>
          <wp:inline>
            <wp:extent cx="5270500" cy="4285026"/>
            <wp:effectExtent b="0" l="0" r="0" t="0"/>
            <wp:docPr descr="permission_audit_screenshot.png" title="" id="148" name="Picture"/>
            <a:graphic>
              <a:graphicData uri="http://schemas.openxmlformats.org/drawingml/2006/picture">
                <pic:pic>
                  <pic:nvPicPr>
                    <pic:cNvPr descr="output/95bb2b01/src/preview/screenshots/permission_audit_screenshot.png" id="149" name="Picture"/>
                    <pic:cNvPicPr>
                      <a:picLocks noChangeArrowheads="1" noChangeAspect="1"/>
                    </pic:cNvPicPr>
                  </pic:nvPicPr>
                  <pic:blipFill>
                    <a:blip r:embed="rId147"/>
                    <a:stretch>
                      <a:fillRect/>
                    </a:stretch>
                  </pic:blipFill>
                  <pic:spPr bwMode="auto">
                    <a:xfrm>
                      <a:off x="0" y="0"/>
                      <a:ext cx="5270500" cy="4285026"/>
                    </a:xfrm>
                    <a:prstGeom prst="rect">
                      <a:avLst/>
                    </a:prstGeom>
                    <a:noFill/>
                    <a:ln w="9525">
                      <a:noFill/>
                      <a:headEnd/>
                      <a:tailEnd/>
                    </a:ln>
                  </pic:spPr>
                </pic:pic>
              </a:graphicData>
            </a:graphic>
          </wp:inline>
        </w:drawing>
      </w:r>
    </w:p>
    <w:p>
      <w:pPr>
        <w:pStyle w:val="ImageCaption"/>
      </w:pPr>
      <w:r>
        <w:t xml:space="preserve">permission_audit_screenshot.png</w:t>
      </w:r>
    </w:p>
    <w:p>
      <w:pPr>
        <w:pStyle w:val="a0"/>
      </w:pPr>
      <w:r>
        <w:t xml:space="preserve"> </w:t>
      </w:r>
      <w:r>
        <w:t xml:space="preserve"> </w:t>
      </w:r>
      <w:r>
        <w:t xml:space="preserve">权限审计页面提供了全面的数据访问监控和审计功能。用户可通过以下步骤进行操作：</w:t>
      </w:r>
    </w:p>
    <w:p>
      <w:pPr>
        <w:pStyle w:val="a0"/>
      </w:pPr>
      <w:r>
        <w:t xml:space="preserve">首先查看页面顶部的审计概览卡片，了解今日访问量、异常访问次数、合规率和敏感操作数量等关键指标。这些数据帮助快速掌握系统安全状况。</w:t>
      </w:r>
    </w:p>
    <w:p>
      <w:pPr>
        <w:pStyle w:val="a0"/>
      </w:pPr>
      <w:r>
        <w:t xml:space="preserve">在筛选条件区域，用户可以根据时间范围、用户角色、操作类型和数据等级进行精确筛选：</w:t>
      </w:r>
      <w:r>
        <w:t xml:space="preserve"> </w:t>
      </w:r>
      <w:r>
        <w:t xml:space="preserve">- 选择时间范围（今日、最近7天、最近30天或自定义）</w:t>
      </w:r>
      <w:r>
        <w:t xml:space="preserve"> </w:t>
      </w:r>
      <w:r>
        <w:t xml:space="preserve">- 筛选特定用户或用户组</w:t>
      </w:r>
      <w:r>
        <w:t xml:space="preserve"> </w:t>
      </w:r>
      <w:r>
        <w:t xml:space="preserve">- 按操作类型（数据查看、导出、修改或权限变更）过滤</w:t>
      </w:r>
      <w:r>
        <w:t xml:space="preserve"> </w:t>
      </w:r>
      <w:r>
        <w:t xml:space="preserve">- 按数据敏感等级（公开、内部、机密、绝密）筛选</w:t>
      </w:r>
      <w:r>
        <w:t xml:space="preserve"> </w:t>
      </w:r>
      <w:r>
        <w:t xml:space="preserve">填写筛选条件后点击”查询”按钮查看结果，或使用”重置”按钮清空条件。</w:t>
      </w:r>
    </w:p>
    <w:p>
      <w:pPr>
        <w:pStyle w:val="a0"/>
      </w:pPr>
      <w:r>
        <w:t xml:space="preserve">中间区域展示两个可视化图表：左侧为数据访问趋势图，显示近期的访问量变化；右侧为操作类型分布饼图，直观展示各类操作的占比情况。</w:t>
      </w:r>
    </w:p>
    <w:p>
      <w:pPr>
        <w:pStyle w:val="a0"/>
      </w:pPr>
      <w:r>
        <w:t xml:space="preserve">底部的审计日志表格详细记录所有数据访问行为，包含时间、用户、操作类型、数据对象、数据等级、IP地址和操作结果等信息。用户可以通过：</w:t>
      </w:r>
      <w:r>
        <w:t xml:space="preserve"> </w:t>
      </w:r>
      <w:r>
        <w:t xml:space="preserve">- 浏览表格了解详细访问记录</w:t>
      </w:r>
      <w:r>
        <w:t xml:space="preserve"> </w:t>
      </w:r>
      <w:r>
        <w:t xml:space="preserve">- 点击”详情”按钮查看具体操作信息</w:t>
      </w:r>
      <w:r>
        <w:t xml:space="preserve"> </w:t>
      </w:r>
      <w:r>
        <w:t xml:space="preserve">- 使用分页功能浏览更多记录</w:t>
      </w:r>
      <w:r>
        <w:t xml:space="preserve"> </w:t>
      </w:r>
      <w:r>
        <w:t xml:space="preserve">- 点击”导出报告”按钮下载完整的审计报告</w:t>
      </w:r>
    </w:p>
    <w:p>
      <w:pPr>
        <w:pStyle w:val="a0"/>
      </w:pPr>
      <w:r>
        <w:t xml:space="preserve">页面支持响应式布局，图表会自适应屏幕大小变化，确保在不同设备上都能获得良好的查看体验。</w:t>
      </w:r>
    </w:p>
    <w:bookmarkEnd w:id="150"/>
    <w:bookmarkEnd w:id="151"/>
    <w:bookmarkStart w:id="164" w:name="用户权限"/>
    <w:p>
      <w:pPr>
        <w:pStyle w:val="3"/>
      </w:pPr>
      <w:r>
        <w:t xml:space="preserve">6.7 用户权限</w:t>
      </w:r>
    </w:p>
    <w:bookmarkStart w:id="155" w:name="用户管理"/>
    <w:p>
      <w:pPr>
        <w:pStyle w:val="4"/>
      </w:pPr>
      <w:r>
        <w:t xml:space="preserve">6.7.1 用户管理</w:t>
      </w:r>
    </w:p>
    <w:p>
      <w:pPr>
        <w:pStyle w:val="FirstParagraph"/>
      </w:pPr>
      <w:r>
        <w:t xml:space="preserve"> </w:t>
      </w:r>
    </w:p>
    <w:p>
      <w:pPr>
        <w:pStyle w:val="CaptionedFigure"/>
      </w:pPr>
      <w:r>
        <w:drawing>
          <wp:inline>
            <wp:extent cx="5270500" cy="2964656"/>
            <wp:effectExtent b="0" l="0" r="0" t="0"/>
            <wp:docPr descr="user_manage_screenshot.png" title="" id="153" name="Picture"/>
            <a:graphic>
              <a:graphicData uri="http://schemas.openxmlformats.org/drawingml/2006/picture">
                <pic:pic>
                  <pic:nvPicPr>
                    <pic:cNvPr descr="output/95bb2b01/src/preview/screenshots/user_manage_screenshot.png" id="154" name="Picture"/>
                    <pic:cNvPicPr>
                      <a:picLocks noChangeArrowheads="1" noChangeAspect="1"/>
                    </pic:cNvPicPr>
                  </pic:nvPicPr>
                  <pic:blipFill>
                    <a:blip r:embed="rId152"/>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user_manage_screenshot.png</w:t>
      </w:r>
    </w:p>
    <w:p>
      <w:pPr>
        <w:pStyle w:val="a0"/>
      </w:pPr>
      <w:r>
        <w:t xml:space="preserve"> </w:t>
      </w:r>
      <w:r>
        <w:t xml:space="preserve"> </w:t>
      </w:r>
      <w:r>
        <w:t xml:space="preserve">本页面是量化咨询客户关系管理系统的用户管理模块，提供了完整的用户账户管理功能。管理员可以通过此页面对系统用户进行全面管理。</w:t>
      </w:r>
    </w:p>
    <w:p>
      <w:pPr>
        <w:pStyle w:val="a0"/>
      </w:pPr>
      <w:r>
        <w:t xml:space="preserve">在页面顶部，操作工具栏提供了多种功能入口：</w:t>
      </w:r>
      <w:r>
        <w:t xml:space="preserve"> </w:t>
      </w:r>
      <w:r>
        <w:t xml:space="preserve">- 使用搜索框可以按用户名、邮箱或部门进行快速筛选，点击搜索按钮执行查询，重置按钮可清除搜索条件</w:t>
      </w:r>
      <w:r>
        <w:t xml:space="preserve"> </w:t>
      </w:r>
      <w:r>
        <w:t xml:space="preserve">- 添加用户按钮用于创建新账户，导出按钮可将用户数据导出为外部文件</w:t>
      </w:r>
    </w:p>
    <w:p>
      <w:pPr>
        <w:pStyle w:val="a0"/>
      </w:pPr>
      <w:r>
        <w:t xml:space="preserve">用户统计卡片区域直观展示了系统用户概况：</w:t>
      </w:r>
      <w:r>
        <w:t xml:space="preserve"> </w:t>
      </w:r>
      <w:r>
        <w:t xml:space="preserve">- 总用户数、活跃用户数量、管理员人数和本月新增用户数据一目了然</w:t>
      </w:r>
    </w:p>
    <w:p>
      <w:pPr>
        <w:pStyle w:val="a0"/>
      </w:pPr>
      <w:r>
        <w:t xml:space="preserve">用户列表表格是核心操作区域，展示了所有用户的详细信息：</w:t>
      </w:r>
      <w:r>
        <w:t xml:space="preserve"> </w:t>
      </w:r>
      <w:r>
        <w:t xml:space="preserve">- 表格包含用户名、邮箱、角色、部门、状态、最后登录时间和创建时间等关键信息</w:t>
      </w:r>
      <w:r>
        <w:t xml:space="preserve"> </w:t>
      </w:r>
      <w:r>
        <w:t xml:space="preserve">- 通过状态列可以快速识别用户账户的启用或禁用状态</w:t>
      </w:r>
      <w:r>
        <w:t xml:space="preserve"> </w:t>
      </w:r>
      <w:r>
        <w:t xml:space="preserve">- 操作列提供编辑、启用/禁用和删除三个功能按钮</w:t>
      </w:r>
    </w:p>
    <w:p>
      <w:pPr>
        <w:pStyle w:val="a0"/>
      </w:pPr>
      <w:r>
        <w:t xml:space="preserve">具体操作流程如下：</w:t>
      </w:r>
      <w:r>
        <w:t xml:space="preserve"> </w:t>
      </w:r>
      <w:r>
        <w:t xml:space="preserve">- 添加新用户时，点击添加用户按钮打开模态框，填写用户名、邮箱、部门、角色等必填信息，设置相应权限后保存</w:t>
      </w:r>
      <w:r>
        <w:t xml:space="preserve"> </w:t>
      </w:r>
      <w:r>
        <w:t xml:space="preserve">- 编辑现有用户信息时，点击对应行的编辑按钮（铅笔图标），在弹出表单中修改后保存</w:t>
      </w:r>
      <w:r>
        <w:t xml:space="preserve"> </w:t>
      </w:r>
      <w:r>
        <w:t xml:space="preserve">- 临时禁用用户账户时，点击启用/禁用按钮（人形图标），系统会要求确认操作</w:t>
      </w:r>
      <w:r>
        <w:t xml:space="preserve"> </w:t>
      </w:r>
      <w:r>
        <w:t xml:space="preserve">- 彻底删除用户时，点击删除按钮（垃圾桶图标），需在确认对话框中再次确认</w:t>
      </w:r>
      <w:r>
        <w:t xml:space="preserve"> </w:t>
      </w:r>
      <w:r>
        <w:t xml:space="preserve">- 使用显示禁用用户开关可以筛选显示或隐藏已被禁用的账户</w:t>
      </w:r>
    </w:p>
    <w:p>
      <w:pPr>
        <w:pStyle w:val="a0"/>
      </w:pPr>
      <w:r>
        <w:t xml:space="preserve">所有敏感操作都会弹出确认对话框，防止误操作。系统会通过临时提示信息反馈操作结果，确保用户体验的连贯性。页面设计符合数据安全与权限管理要求，不同角色的管理员只能在其权限范围内操作用户数据。</w:t>
      </w:r>
    </w:p>
    <w:bookmarkEnd w:id="155"/>
    <w:bookmarkStart w:id="159" w:name="角色管理"/>
    <w:p>
      <w:pPr>
        <w:pStyle w:val="4"/>
      </w:pPr>
      <w:r>
        <w:t xml:space="preserve">6.7.2 角色管理</w:t>
      </w:r>
    </w:p>
    <w:p>
      <w:pPr>
        <w:pStyle w:val="FirstParagraph"/>
      </w:pPr>
      <w:r>
        <w:t xml:space="preserve"> </w:t>
      </w:r>
    </w:p>
    <w:p>
      <w:pPr>
        <w:pStyle w:val="CaptionedFigure"/>
      </w:pPr>
      <w:r>
        <w:drawing>
          <wp:inline>
            <wp:extent cx="5270500" cy="2964656"/>
            <wp:effectExtent b="0" l="0" r="0" t="0"/>
            <wp:docPr descr="user_role_screenshot.png" title="" id="157" name="Picture"/>
            <a:graphic>
              <a:graphicData uri="http://schemas.openxmlformats.org/drawingml/2006/picture">
                <pic:pic>
                  <pic:nvPicPr>
                    <pic:cNvPr descr="output/95bb2b01/src/preview/screenshots/user_role_screenshot.png" id="158" name="Picture"/>
                    <pic:cNvPicPr>
                      <a:picLocks noChangeArrowheads="1" noChangeAspect="1"/>
                    </pic:cNvPicPr>
                  </pic:nvPicPr>
                  <pic:blipFill>
                    <a:blip r:embed="rId156"/>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user_role_screenshot.png</w:t>
      </w:r>
    </w:p>
    <w:p>
      <w:pPr>
        <w:pStyle w:val="a0"/>
      </w:pPr>
      <w:r>
        <w:t xml:space="preserve"> </w:t>
      </w:r>
      <w:r>
        <w:t xml:space="preserve"> </w:t>
      </w:r>
      <w:r>
        <w:t xml:space="preserve">本页面为角色管理模块，管理员可在此对系统用户角色进行全面的管理和配置。页面主要分为角色列表展示、统计概览和角色配置三个核心区域。</w:t>
      </w:r>
    </w:p>
    <w:p>
      <w:pPr>
        <w:pStyle w:val="a0"/>
      </w:pPr>
      <w:r>
        <w:t xml:space="preserve">在角色列表区域，系统默认展示了五个预置角色：超级管理员、业务经理、数据分析师、客服专员和只读用户。每个角色条目清晰显示了角色名称、描述、成员数量、创建时间和当前状态。管理员可通过以下步骤进行角色管理操作：</w:t>
      </w:r>
    </w:p>
    <w:p>
      <w:pPr>
        <w:numPr>
          <w:ilvl w:val="0"/>
          <w:numId w:val="1033"/>
        </w:numPr>
        <w:pStyle w:val="Compact"/>
      </w:pPr>
      <w:r>
        <w:t xml:space="preserve">点击右上角”添加新角色”按钮，在弹出的模态框中填写角色名称、代码、描述并设置状态，完成后保存即可创建新角色</w:t>
      </w:r>
    </w:p>
    <w:p>
      <w:pPr>
        <w:numPr>
          <w:ilvl w:val="0"/>
          <w:numId w:val="1033"/>
        </w:numPr>
        <w:pStyle w:val="Compact"/>
      </w:pPr>
      <w:r>
        <w:t xml:space="preserve">使用搜索框输入角色名称关键词，系统将实时过滤显示匹配的角色条目</w:t>
      </w:r>
    </w:p>
    <w:p>
      <w:pPr>
        <w:numPr>
          <w:ilvl w:val="0"/>
          <w:numId w:val="1033"/>
        </w:numPr>
        <w:pStyle w:val="Compact"/>
      </w:pPr>
      <w:r>
        <w:t xml:space="preserve">针对每个现有角色，可通过操作列的三个图标按钮进行编辑、权限配置或删除操作</w:t>
      </w:r>
    </w:p>
    <w:p>
      <w:pPr>
        <w:numPr>
          <w:ilvl w:val="0"/>
          <w:numId w:val="1033"/>
        </w:numPr>
        <w:pStyle w:val="Compact"/>
      </w:pPr>
      <w:r>
        <w:t xml:space="preserve">点击铅笔图标可修改角色基本信息，钥匙图标进入详细的权限配置界面，垃圾桶图标则用于删除角色</w:t>
      </w:r>
    </w:p>
    <w:p>
      <w:pPr>
        <w:pStyle w:val="FirstParagraph"/>
      </w:pPr>
      <w:r>
        <w:t xml:space="preserve">权限配置功能尤为关键，管理员可通过权限配置模态框为不同角色分配细粒度的系统权限。左侧导航区按功能模块分类，右侧展示具体权限项，包括客户数据管理的查看、编辑、导出权限，量化分析工具的使用权限等。管理员只需勾选相应权限复选框即可完成配置。</w:t>
      </w:r>
    </w:p>
    <w:p>
      <w:pPr>
        <w:pStyle w:val="a0"/>
      </w:pPr>
      <w:r>
        <w:t xml:space="preserve">页面底部的统计卡片直观展示了系统角色总体情况，包括总角色数、启用状态角色数、角色成员总数和系统权限项总数，为管理员提供决策参考。所有操作均通过模态框实现，避免了页面跳转，确保了操作流程的连贯性和用户体验的一致性。</w:t>
      </w:r>
    </w:p>
    <w:bookmarkEnd w:id="159"/>
    <w:bookmarkStart w:id="163" w:name="部门管理"/>
    <w:p>
      <w:pPr>
        <w:pStyle w:val="4"/>
      </w:pPr>
      <w:r>
        <w:t xml:space="preserve">6.7.3 部门管理</w:t>
      </w:r>
    </w:p>
    <w:p>
      <w:pPr>
        <w:pStyle w:val="FirstParagraph"/>
      </w:pPr>
      <w:r>
        <w:t xml:space="preserve"> </w:t>
      </w:r>
    </w:p>
    <w:p>
      <w:pPr>
        <w:pStyle w:val="CaptionedFigure"/>
      </w:pPr>
      <w:r>
        <w:drawing>
          <wp:inline>
            <wp:extent cx="5270500" cy="2964656"/>
            <wp:effectExtent b="0" l="0" r="0" t="0"/>
            <wp:docPr descr="user_department_screenshot.png" title="" id="161" name="Picture"/>
            <a:graphic>
              <a:graphicData uri="http://schemas.openxmlformats.org/drawingml/2006/picture">
                <pic:pic>
                  <pic:nvPicPr>
                    <pic:cNvPr descr="output/95bb2b01/src/preview/screenshots/user_department_screenshot.png" id="162" name="Picture"/>
                    <pic:cNvPicPr>
                      <a:picLocks noChangeArrowheads="1" noChangeAspect="1"/>
                    </pic:cNvPicPr>
                  </pic:nvPicPr>
                  <pic:blipFill>
                    <a:blip r:embed="rId160"/>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user_department_screenshot.png</w:t>
      </w:r>
    </w:p>
    <w:p>
      <w:pPr>
        <w:pStyle w:val="a0"/>
      </w:pPr>
      <w:r>
        <w:t xml:space="preserve"> </w:t>
      </w:r>
      <w:r>
        <w:t xml:space="preserve"> </w:t>
      </w:r>
      <w:r>
        <w:t xml:space="preserve">在部门管理页面中，您可以清晰地查看和管理公司的组织架构。页面主要分为组织架构图和部门列表两大功能区，顶部设有“添加部门”按钮用于创建新部门。</w:t>
      </w:r>
    </w:p>
    <w:p>
      <w:pPr>
        <w:pStyle w:val="a0"/>
      </w:pPr>
      <w:r>
        <w:t xml:space="preserve">首先，页面中央的组织架构图直观展示了公司的层级结构。总公司位于顶层，其下设有技术部、市场部、财务部等主要部门，技术部下还细分为前端组、后端组和数据分析组等子团队。这个可视化图表帮助您快速理解各部门的从属关系。</w:t>
      </w:r>
    </w:p>
    <w:p>
      <w:pPr>
        <w:pStyle w:val="a0"/>
      </w:pPr>
      <w:r>
        <w:t xml:space="preserve">在部门列表区域，您可以查看所有部门的详细信息，包括部门名称、编码、负责人、成员数量、创建时间和状态。列表支持分页浏览，方便查看大量数据。每个部门行末都配有编辑和删除操作按钮：</w:t>
      </w:r>
      <w:r>
        <w:t xml:space="preserve"> </w:t>
      </w:r>
      <w:r>
        <w:t xml:space="preserve">- 点击编辑按钮（铅笔图标）可修改部门信息</w:t>
      </w:r>
      <w:r>
        <w:t xml:space="preserve"> </w:t>
      </w:r>
      <w:r>
        <w:t xml:space="preserve">- 点击删除按钮（垃圾桶图标）可移除该部门</w:t>
      </w:r>
    </w:p>
    <w:p>
      <w:pPr>
        <w:pStyle w:val="a0"/>
      </w:pPr>
      <w:r>
        <w:t xml:space="preserve">如需新增部门，请点击页面右上角的“添加部门”按钮，系统将弹出创建窗口。在此窗口中，您需要依次填写：</w:t>
      </w:r>
      <w:r>
        <w:t xml:space="preserve"> </w:t>
      </w:r>
      <w:r>
        <w:t xml:space="preserve">- 部门名称</w:t>
      </w:r>
      <w:r>
        <w:t xml:space="preserve"> </w:t>
      </w:r>
      <w:r>
        <w:t xml:space="preserve">- 部门编码</w:t>
      </w:r>
      <w:r>
        <w:t xml:space="preserve"> </w:t>
      </w:r>
      <w:r>
        <w:t xml:space="preserve">- 选择上级部门</w:t>
      </w:r>
      <w:r>
        <w:t xml:space="preserve"> </w:t>
      </w:r>
      <w:r>
        <w:t xml:space="preserve">- 指定部门负责人</w:t>
      </w:r>
      <w:r>
        <w:t xml:space="preserve"> </w:t>
      </w:r>
      <w:r>
        <w:t xml:space="preserve">- 输入部门描述</w:t>
      </w:r>
    </w:p>
    <w:p>
      <w:pPr>
        <w:pStyle w:val="a0"/>
      </w:pPr>
      <w:r>
        <w:t xml:space="preserve">填写完整后点击“保存”即可完成部门创建，若需取消操作可点击“取消”按钮。整个操作流程设计简洁，确保您能高效完成部门管理工作。</w:t>
      </w:r>
    </w:p>
    <w:bookmarkEnd w:id="163"/>
    <w:bookmarkEnd w:id="164"/>
    <w:bookmarkStart w:id="177" w:name="系统设置"/>
    <w:p>
      <w:pPr>
        <w:pStyle w:val="3"/>
      </w:pPr>
      <w:r>
        <w:t xml:space="preserve">6.8 系统设置</w:t>
      </w:r>
    </w:p>
    <w:bookmarkStart w:id="168" w:name="平台信息设置"/>
    <w:p>
      <w:pPr>
        <w:pStyle w:val="4"/>
      </w:pPr>
      <w:r>
        <w:t xml:space="preserve">6.8.1 平台信息设置</w:t>
      </w:r>
    </w:p>
    <w:p>
      <w:pPr>
        <w:pStyle w:val="FirstParagraph"/>
      </w:pPr>
      <w:r>
        <w:t xml:space="preserve"> </w:t>
      </w:r>
    </w:p>
    <w:p>
      <w:pPr>
        <w:pStyle w:val="CaptionedFigure"/>
      </w:pPr>
      <w:r>
        <w:drawing>
          <wp:inline>
            <wp:extent cx="5270500" cy="4219145"/>
            <wp:effectExtent b="0" l="0" r="0" t="0"/>
            <wp:docPr descr="settings_platform_screenshot.png" title="" id="166" name="Picture"/>
            <a:graphic>
              <a:graphicData uri="http://schemas.openxmlformats.org/drawingml/2006/picture">
                <pic:pic>
                  <pic:nvPicPr>
                    <pic:cNvPr descr="output/95bb2b01/src/preview/screenshots/settings_platform_screenshot.png" id="167" name="Picture"/>
                    <pic:cNvPicPr>
                      <a:picLocks noChangeArrowheads="1" noChangeAspect="1"/>
                    </pic:cNvPicPr>
                  </pic:nvPicPr>
                  <pic:blipFill>
                    <a:blip r:embed="rId165"/>
                    <a:stretch>
                      <a:fillRect/>
                    </a:stretch>
                  </pic:blipFill>
                  <pic:spPr bwMode="auto">
                    <a:xfrm>
                      <a:off x="0" y="0"/>
                      <a:ext cx="5270500" cy="4219145"/>
                    </a:xfrm>
                    <a:prstGeom prst="rect">
                      <a:avLst/>
                    </a:prstGeom>
                    <a:noFill/>
                    <a:ln w="9525">
                      <a:noFill/>
                      <a:headEnd/>
                      <a:tailEnd/>
                    </a:ln>
                  </pic:spPr>
                </pic:pic>
              </a:graphicData>
            </a:graphic>
          </wp:inline>
        </w:drawing>
      </w:r>
    </w:p>
    <w:p>
      <w:pPr>
        <w:pStyle w:val="ImageCaption"/>
      </w:pPr>
      <w:r>
        <w:t xml:space="preserve">settings_platform_screenshot.png</w:t>
      </w:r>
    </w:p>
    <w:p>
      <w:pPr>
        <w:pStyle w:val="a0"/>
      </w:pPr>
      <w:r>
        <w:t xml:space="preserve"> </w:t>
      </w:r>
      <w:r>
        <w:t xml:space="preserve"> </w:t>
      </w:r>
      <w:r>
        <w:t xml:space="preserve">本页面为平台信息设置界面，管理员可在此集中配置系统的品牌标识与视觉元素。页面采用左右布局，左侧为设置区域，右侧为实时预览面板，方便用户即时查看修改效果。</w:t>
      </w:r>
    </w:p>
    <w:p>
      <w:pPr>
        <w:pStyle w:val="a0"/>
      </w:pPr>
      <w:r>
        <w:t xml:space="preserve">首先，在“基本系统设置”区域，您可以修改系统核心信息：</w:t>
      </w:r>
      <w:r>
        <w:t xml:space="preserve"> </w:t>
      </w:r>
      <w:r>
        <w:t xml:space="preserve">- 更新系统名称和版本号，这些信息将显示在浏览器标签页和页面顶部</w:t>
      </w:r>
      <w:r>
        <w:t xml:space="preserve"> </w:t>
      </w:r>
      <w:r>
        <w:t xml:space="preserve">- 编辑系统描述，以准确反映平台的主要功能和定位</w:t>
      </w:r>
    </w:p>
    <w:p>
      <w:pPr>
        <w:pStyle w:val="a0"/>
      </w:pPr>
      <w:r>
        <w:t xml:space="preserve">其次，在“Logo 设置”区域，您可以上传和更新品牌标识：</w:t>
      </w:r>
      <w:r>
        <w:t xml:space="preserve"> </w:t>
      </w:r>
      <w:r>
        <w:t xml:space="preserve">- 分别上传系统 Logo 和网站图标，建议遵循推荐的尺寸和格式要求</w:t>
      </w:r>
      <w:r>
        <w:t xml:space="preserve"> </w:t>
      </w:r>
      <w:r>
        <w:t xml:space="preserve">- 右侧预览区域会立即显示新 Logo 的应用效果</w:t>
      </w:r>
    </w:p>
    <w:p>
      <w:pPr>
        <w:pStyle w:val="a0"/>
      </w:pPr>
      <w:r>
        <w:t xml:space="preserve">第三，</w:t>
      </w:r>
      <w:r>
        <w:t xml:space="preserve">“</w:t>
      </w:r>
      <w:r>
        <w:t xml:space="preserve">水印设置</w:t>
      </w:r>
      <w:r>
        <w:t xml:space="preserve">”</w:t>
      </w:r>
      <w:r>
        <w:t xml:space="preserve">区域提供了详细的数据安全配置选项：</w:t>
      </w:r>
      <w:r>
        <w:t xml:space="preserve"> </w:t>
      </w:r>
      <w:r>
        <w:t xml:space="preserve">- 通过开关控制是否在页面启用水印功能</w:t>
      </w:r>
      <w:r>
        <w:t xml:space="preserve"> </w:t>
      </w:r>
      <w:r>
        <w:t xml:space="preserve">- 自定义水印文本内容，通常用于标识文件机密性</w:t>
      </w:r>
      <w:r>
        <w:t xml:space="preserve"> </w:t>
      </w:r>
      <w:r>
        <w:t xml:space="preserve">- 调整水印的透明度、位置、颜色和字体大小</w:t>
      </w:r>
      <w:r>
        <w:t xml:space="preserve"> </w:t>
      </w:r>
      <w:r>
        <w:t xml:space="preserve">- 下方的预览区域可直观查看水印效果</w:t>
      </w:r>
    </w:p>
    <w:p>
      <w:pPr>
        <w:pStyle w:val="a0"/>
      </w:pPr>
      <w:r>
        <w:t xml:space="preserve">在操作过程中，右侧预览面板会实时反映所有设置的变更效果。完成所有配置后，请点击底部的“保存设置”按钮以应用更改。系统会弹出成功提示，部分设置可能需要刷新页面才能完全生效。如需恢复初始状态，可使用“恢复默认”按钮重置所有设置。</w:t>
      </w:r>
    </w:p>
    <w:p>
      <w:pPr>
        <w:pStyle w:val="a0"/>
      </w:pPr>
      <w:r>
        <w:t xml:space="preserve">请注意，水印透明度可通过滑块实时调整，相关数值会同步显示。所有设置项均配有详细的说明文字，指导您正确输入配置信息。</w:t>
      </w:r>
    </w:p>
    <w:bookmarkEnd w:id="168"/>
    <w:bookmarkStart w:id="172" w:name="业务参数配置"/>
    <w:p>
      <w:pPr>
        <w:pStyle w:val="4"/>
      </w:pPr>
      <w:r>
        <w:t xml:space="preserve">6.8.2 业务参数配置</w:t>
      </w:r>
    </w:p>
    <w:p>
      <w:pPr>
        <w:pStyle w:val="FirstParagraph"/>
      </w:pPr>
      <w:r>
        <w:t xml:space="preserve"> </w:t>
      </w:r>
    </w:p>
    <w:p>
      <w:pPr>
        <w:pStyle w:val="CaptionedFigure"/>
      </w:pPr>
      <w:r>
        <w:drawing>
          <wp:inline>
            <wp:extent cx="5270500" cy="4079147"/>
            <wp:effectExtent b="0" l="0" r="0" t="0"/>
            <wp:docPr descr="settings_business_screenshot.png" title="" id="170" name="Picture"/>
            <a:graphic>
              <a:graphicData uri="http://schemas.openxmlformats.org/drawingml/2006/picture">
                <pic:pic>
                  <pic:nvPicPr>
                    <pic:cNvPr descr="output/95bb2b01/src/preview/screenshots/settings_business_screenshot.png" id="171" name="Picture"/>
                    <pic:cNvPicPr>
                      <a:picLocks noChangeArrowheads="1" noChangeAspect="1"/>
                    </pic:cNvPicPr>
                  </pic:nvPicPr>
                  <pic:blipFill>
                    <a:blip r:embed="rId169"/>
                    <a:stretch>
                      <a:fillRect/>
                    </a:stretch>
                  </pic:blipFill>
                  <pic:spPr bwMode="auto">
                    <a:xfrm>
                      <a:off x="0" y="0"/>
                      <a:ext cx="5270500" cy="4079147"/>
                    </a:xfrm>
                    <a:prstGeom prst="rect">
                      <a:avLst/>
                    </a:prstGeom>
                    <a:noFill/>
                    <a:ln w="9525">
                      <a:noFill/>
                      <a:headEnd/>
                      <a:tailEnd/>
                    </a:ln>
                  </pic:spPr>
                </pic:pic>
              </a:graphicData>
            </a:graphic>
          </wp:inline>
        </w:drawing>
      </w:r>
    </w:p>
    <w:p>
      <w:pPr>
        <w:pStyle w:val="ImageCaption"/>
      </w:pPr>
      <w:r>
        <w:t xml:space="preserve">settings_business_screenshot.png</w:t>
      </w:r>
    </w:p>
    <w:p>
      <w:pPr>
        <w:pStyle w:val="a0"/>
      </w:pPr>
      <w:r>
        <w:t xml:space="preserve"> </w:t>
      </w:r>
      <w:r>
        <w:t xml:space="preserve"> </w:t>
      </w:r>
      <w:r>
        <w:t xml:space="preserve">业务参数配置页面是量化咨询客户关系管理系统的核心设置模块，用于定制化配置量化分析模型和业务规则。用户通过此页面可调整客户价值评估标准、风险等级划分规则以及服务流程参数。</w:t>
      </w:r>
    </w:p>
    <w:p>
      <w:pPr>
        <w:pStyle w:val="a0"/>
      </w:pPr>
      <w:r>
        <w:t xml:space="preserve">首先在客户价值分析参数区域，管理员需要设置高价值客户阈值（默认85分），调整成长性权重系数（默认0.3），并选择收入贡献因子的计算模型（线性/对数/指数）。同时可通过开关控制是否启用自动价值分级功能，实现客户等级的实时更新。</w:t>
      </w:r>
    </w:p>
    <w:p>
      <w:pPr>
        <w:pStyle w:val="a0"/>
      </w:pPr>
      <w:r>
        <w:t xml:space="preserve">在风险评估参数配置中，用户可选择风险等级划分的精细程度（三级/五级/七级分类），通过滑块调整波动率阈值（5%-30%范围），并勾选需要监测的风险预警指标类型，包括市场风险、信用风险和流动性风险。</w:t>
      </w:r>
    </w:p>
    <w:p>
      <w:pPr>
        <w:pStyle w:val="a0"/>
      </w:pPr>
      <w:r>
        <w:t xml:space="preserve">业务规则配置部分允许设置服务响应时间要求（默认4小时）、客户跟进频率（每日/每周/每月/每季度）和报告生成周期。在自定义业务规则文本框中，管理员可编写个性化规则逻辑，系统已预设示例规则供参考。</w:t>
      </w:r>
    </w:p>
    <w:p>
      <w:pPr>
        <w:pStyle w:val="a0"/>
      </w:pPr>
      <w:r>
        <w:t xml:space="preserve">完成所有参数调整后，页面底部提供参数预览与操作区域。用户可选择保存草稿暂存配置，或直接点击应用配置使参数生效。系统会显示操作成功的提示信息。配置修改历史记录表格展示了历次参数变更的详细信息，包括修改时间、操作人员和当前状态，支持查看历史配置详情。</w:t>
      </w:r>
    </w:p>
    <w:p>
      <w:pPr>
        <w:pStyle w:val="a0"/>
      </w:pPr>
      <w:r>
        <w:t xml:space="preserve">所有配置变更将直接影响系统的量化分析结果和服务流程执行标准，建议在充分测试后再进行正式应用。</w:t>
      </w:r>
    </w:p>
    <w:bookmarkEnd w:id="172"/>
    <w:bookmarkStart w:id="176" w:name="通知设置"/>
    <w:p>
      <w:pPr>
        <w:pStyle w:val="4"/>
      </w:pPr>
      <w:r>
        <w:t xml:space="preserve">6.8.3 通知设置</w:t>
      </w:r>
    </w:p>
    <w:p>
      <w:pPr>
        <w:pStyle w:val="FirstParagraph"/>
      </w:pPr>
      <w:r>
        <w:t xml:space="preserve"> </w:t>
      </w:r>
    </w:p>
    <w:p>
      <w:pPr>
        <w:pStyle w:val="CaptionedFigure"/>
      </w:pPr>
      <w:r>
        <w:drawing>
          <wp:inline>
            <wp:extent cx="5270500" cy="4098362"/>
            <wp:effectExtent b="0" l="0" r="0" t="0"/>
            <wp:docPr descr="settings_notification_screenshot.png" title="" id="174" name="Picture"/>
            <a:graphic>
              <a:graphicData uri="http://schemas.openxmlformats.org/drawingml/2006/picture">
                <pic:pic>
                  <pic:nvPicPr>
                    <pic:cNvPr descr="output/95bb2b01/src/preview/screenshots/settings_notification_screenshot.png" id="175" name="Picture"/>
                    <pic:cNvPicPr>
                      <a:picLocks noChangeArrowheads="1" noChangeAspect="1"/>
                    </pic:cNvPicPr>
                  </pic:nvPicPr>
                  <pic:blipFill>
                    <a:blip r:embed="rId173"/>
                    <a:stretch>
                      <a:fillRect/>
                    </a:stretch>
                  </pic:blipFill>
                  <pic:spPr bwMode="auto">
                    <a:xfrm>
                      <a:off x="0" y="0"/>
                      <a:ext cx="5270500" cy="4098362"/>
                    </a:xfrm>
                    <a:prstGeom prst="rect">
                      <a:avLst/>
                    </a:prstGeom>
                    <a:noFill/>
                    <a:ln w="9525">
                      <a:noFill/>
                      <a:headEnd/>
                      <a:tailEnd/>
                    </a:ln>
                  </pic:spPr>
                </pic:pic>
              </a:graphicData>
            </a:graphic>
          </wp:inline>
        </w:drawing>
      </w:r>
    </w:p>
    <w:p>
      <w:pPr>
        <w:pStyle w:val="ImageCaption"/>
      </w:pPr>
      <w:r>
        <w:t xml:space="preserve">settings_notification_screenshot.png</w:t>
      </w:r>
    </w:p>
    <w:p>
      <w:pPr>
        <w:pStyle w:val="a0"/>
      </w:pPr>
      <w:r>
        <w:t xml:space="preserve"> </w:t>
      </w:r>
      <w:r>
        <w:t xml:space="preserve"> </w:t>
      </w:r>
      <w:r>
        <w:t xml:space="preserve">本页面为通知设置管理界面，用户可在此集中配置系统的各类消息通知。页面主要分为三个功能区：通知渠道配置、通知模板管理和通知规则设置。</w:t>
      </w:r>
    </w:p>
    <w:p>
      <w:pPr>
        <w:pStyle w:val="a0"/>
      </w:pPr>
      <w:r>
        <w:t xml:space="preserve">在通知渠道配置区域，您可以分别设置邮件、短信、站内信和微信四种通知方式：</w:t>
      </w:r>
      <w:r>
        <w:t xml:space="preserve"> </w:t>
      </w:r>
      <w:r>
        <w:t xml:space="preserve">- 通过每个渠道卡片右上角的开关按钮启用或禁用该渠道</w:t>
      </w:r>
      <w:r>
        <w:t xml:space="preserve"> </w:t>
      </w:r>
      <w:r>
        <w:t xml:space="preserve">- 邮件通知需配置SMTP服务器、端口和发件人邮箱</w:t>
      </w:r>
      <w:r>
        <w:t xml:space="preserve"> </w:t>
      </w:r>
      <w:r>
        <w:t xml:space="preserve">- 短信通知需选择服务商并填写API密钥和签名</w:t>
      </w:r>
      <w:r>
        <w:t xml:space="preserve"> </w:t>
      </w:r>
      <w:r>
        <w:t xml:space="preserve">- 站内信可设置显示位置、自动关闭时间和是否启用提示音</w:t>
      </w:r>
      <w:r>
        <w:t xml:space="preserve"> </w:t>
      </w:r>
      <w:r>
        <w:t xml:space="preserve">- 微信通知需填写企业微信的相关认证信息</w:t>
      </w:r>
    </w:p>
    <w:p>
      <w:pPr>
        <w:pStyle w:val="a0"/>
      </w:pPr>
      <w:r>
        <w:t xml:space="preserve">通知模板管理区域展示现有通知模板列表，包括新客户注册、项目状态变更、风险提醒等模板：</w:t>
      </w:r>
      <w:r>
        <w:t xml:space="preserve"> </w:t>
      </w:r>
      <w:r>
        <w:t xml:space="preserve">- 每个模板显示适用渠道、状态和最后修改时间</w:t>
      </w:r>
      <w:r>
        <w:t xml:space="preserve"> </w:t>
      </w:r>
      <w:r>
        <w:t xml:space="preserve">- 可通过右侧的编辑按钮修改模板内容</w:t>
      </w:r>
      <w:r>
        <w:t xml:space="preserve"> </w:t>
      </w:r>
      <w:r>
        <w:t xml:space="preserve">- 通过查看按钮预览模板效果</w:t>
      </w:r>
      <w:r>
        <w:t xml:space="preserve"> </w:t>
      </w:r>
      <w:r>
        <w:t xml:space="preserve">- 点击”新增模板”按钮可创建新的通知模板</w:t>
      </w:r>
    </w:p>
    <w:p>
      <w:pPr>
        <w:pStyle w:val="a0"/>
      </w:pPr>
      <w:r>
        <w:t xml:space="preserve">右侧的通知触发规则区域允许您设置不同业务场景的触发条件：</w:t>
      </w:r>
      <w:r>
        <w:t xml:space="preserve"> </w:t>
      </w:r>
      <w:r>
        <w:t xml:space="preserve">- 为客户注册、项目状态变更、风险等级变化等事件设置通知时机</w:t>
      </w:r>
      <w:r>
        <w:t xml:space="preserve"> </w:t>
      </w:r>
      <w:r>
        <w:t xml:space="preserve">- 可选择立即通知、延迟通知或不通知</w:t>
      </w:r>
      <w:r>
        <w:t xml:space="preserve"> </w:t>
      </w:r>
      <w:r>
        <w:t xml:space="preserve">- 通知统计卡片实时显示发送量、成功率等关键指标</w:t>
      </w:r>
    </w:p>
    <w:p>
      <w:pPr>
        <w:pStyle w:val="a0"/>
      </w:pPr>
      <w:r>
        <w:t xml:space="preserve">完成所有设置后，点击页面右上角的”保存设置”按钮使配置生效。如需验证通知渠道是否正常工作，可点击”测试通知”按钮，系统将向已启用的渠道发送测试消息。建议在修改配置后务必进行测试，确保通知系统正常运行。</w:t>
      </w:r>
    </w:p>
    <w:bookmarkEnd w:id="176"/>
    <w:bookmarkEnd w:id="177"/>
    <w:bookmarkStart w:id="190" w:name="个人中心"/>
    <w:p>
      <w:pPr>
        <w:pStyle w:val="3"/>
      </w:pPr>
      <w:r>
        <w:t xml:space="preserve">6.9 个人中心</w:t>
      </w:r>
    </w:p>
    <w:bookmarkStart w:id="181" w:name="个人信息"/>
    <w:p>
      <w:pPr>
        <w:pStyle w:val="4"/>
      </w:pPr>
      <w:r>
        <w:t xml:space="preserve">6.9.1 个人信息</w:t>
      </w:r>
    </w:p>
    <w:p>
      <w:pPr>
        <w:pStyle w:val="FirstParagraph"/>
      </w:pPr>
      <w:r>
        <w:t xml:space="preserve"> </w:t>
      </w:r>
    </w:p>
    <w:p>
      <w:pPr>
        <w:pStyle w:val="CaptionedFigure"/>
      </w:pPr>
      <w:r>
        <w:drawing>
          <wp:inline>
            <wp:extent cx="5270500" cy="2964656"/>
            <wp:effectExtent b="0" l="0" r="0" t="0"/>
            <wp:docPr descr="profile_info_screenshot.png" title="" id="179" name="Picture"/>
            <a:graphic>
              <a:graphicData uri="http://schemas.openxmlformats.org/drawingml/2006/picture">
                <pic:pic>
                  <pic:nvPicPr>
                    <pic:cNvPr descr="output/95bb2b01/src/preview/screenshots/profile_info_screenshot.png" id="180" name="Picture"/>
                    <pic:cNvPicPr>
                      <a:picLocks noChangeArrowheads="1" noChangeAspect="1"/>
                    </pic:cNvPicPr>
                  </pic:nvPicPr>
                  <pic:blipFill>
                    <a:blip r:embed="rId178"/>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profile_info_screenshot.png</w:t>
      </w:r>
    </w:p>
    <w:p>
      <w:pPr>
        <w:pStyle w:val="a0"/>
      </w:pPr>
      <w:r>
        <w:t xml:space="preserve"> </w:t>
      </w:r>
      <w:r>
        <w:t xml:space="preserve"> </w:t>
      </w:r>
      <w:r>
        <w:t xml:space="preserve">本页面为量化咨询客户关系管理系统的个人信息管理模块，用户可在此查看并维护个人资料、工作统计及权限信息。</w:t>
      </w:r>
    </w:p>
    <w:p>
      <w:pPr>
        <w:pStyle w:val="a0"/>
      </w:pPr>
      <w:r>
        <w:t xml:space="preserve">在页面左侧的“基本信息”区域，您可以对个人资料进行全面的编辑与更新：</w:t>
      </w:r>
      <w:r>
        <w:t xml:space="preserve"> </w:t>
      </w:r>
      <w:r>
        <w:t xml:space="preserve">- 点击头像下方的“更换头像”按钮，可以上传新的个人照片</w:t>
      </w:r>
      <w:r>
        <w:t xml:space="preserve"> </w:t>
      </w:r>
      <w:r>
        <w:t xml:space="preserve">- 在表单中修改姓名、邮箱、电话等联系信息</w:t>
      </w:r>
      <w:r>
        <w:t xml:space="preserve"> </w:t>
      </w:r>
      <w:r>
        <w:t xml:space="preserve">- 通过下拉菜单调整所属部门和在职状态</w:t>
      </w:r>
      <w:r>
        <w:t xml:space="preserve"> </w:t>
      </w:r>
      <w:r>
        <w:t xml:space="preserve">- 更新职位信息和入职日期等个人资料</w:t>
      </w:r>
      <w:r>
        <w:t xml:space="preserve"> </w:t>
      </w:r>
      <w:r>
        <w:t xml:space="preserve">- 员工编号为系统自动生成，不可编辑</w:t>
      </w:r>
      <w:r>
        <w:t xml:space="preserve"> </w:t>
      </w:r>
      <w:r>
        <w:t xml:space="preserve">完成修改后，点击右下角的“保存更改”按钮提交更新，或使用“取消”按钮放弃修改</w:t>
      </w:r>
    </w:p>
    <w:p>
      <w:pPr>
        <w:pStyle w:val="a0"/>
      </w:pPr>
      <w:r>
        <w:t xml:space="preserve">页面右侧分为两个信息展示区域：</w:t>
      </w:r>
      <w:r>
        <w:t xml:space="preserve"> </w:t>
      </w:r>
      <w:r>
        <w:t xml:space="preserve">- 工作统计卡片直观展示关键绩效指标，包括当前负责客户数量、本月完成咨询量、待处理任务数和客户满意度评分</w:t>
      </w:r>
      <w:r>
        <w:t xml:space="preserve"> </w:t>
      </w:r>
      <w:r>
        <w:t xml:space="preserve">- 权限信息卡片清晰列出您在当前系统中的操作权限，包括客户数据查看、量化分析工具使用等具体权限项，并标注最后更新时间</w:t>
      </w:r>
    </w:p>
    <w:p>
      <w:pPr>
        <w:pStyle w:val="a0"/>
      </w:pPr>
      <w:r>
        <w:t xml:space="preserve">页面顶部设有操作反馈提示，当您成功保存个人信息后，系统会显示绿色成功提示，您可通过右侧关闭按钮手动隐藏该提示。所有操作均遵循系统的数据安全与权限管控机制，确保信息更新的安全性与准确性。</w:t>
      </w:r>
    </w:p>
    <w:bookmarkEnd w:id="181"/>
    <w:bookmarkStart w:id="185" w:name="修改密码"/>
    <w:p>
      <w:pPr>
        <w:pStyle w:val="4"/>
      </w:pPr>
      <w:r>
        <w:t xml:space="preserve">6.9.2 修改密码</w:t>
      </w:r>
    </w:p>
    <w:p>
      <w:pPr>
        <w:pStyle w:val="FirstParagraph"/>
      </w:pPr>
      <w:r>
        <w:t xml:space="preserve"> </w:t>
      </w:r>
    </w:p>
    <w:p>
      <w:pPr>
        <w:pStyle w:val="CaptionedFigure"/>
      </w:pPr>
      <w:r>
        <w:drawing>
          <wp:inline>
            <wp:extent cx="5270500" cy="2964656"/>
            <wp:effectExtent b="0" l="0" r="0" t="0"/>
            <wp:docPr descr="profile_password_screenshot.png" title="" id="183" name="Picture"/>
            <a:graphic>
              <a:graphicData uri="http://schemas.openxmlformats.org/drawingml/2006/picture">
                <pic:pic>
                  <pic:nvPicPr>
                    <pic:cNvPr descr="output/95bb2b01/src/preview/screenshots/profile_password_screenshot.png" id="184" name="Picture"/>
                    <pic:cNvPicPr>
                      <a:picLocks noChangeArrowheads="1" noChangeAspect="1"/>
                    </pic:cNvPicPr>
                  </pic:nvPicPr>
                  <pic:blipFill>
                    <a:blip r:embed="rId182"/>
                    <a:stretch>
                      <a:fillRect/>
                    </a:stretch>
                  </pic:blipFill>
                  <pic:spPr bwMode="auto">
                    <a:xfrm>
                      <a:off x="0" y="0"/>
                      <a:ext cx="5270500" cy="2964656"/>
                    </a:xfrm>
                    <a:prstGeom prst="rect">
                      <a:avLst/>
                    </a:prstGeom>
                    <a:noFill/>
                    <a:ln w="9525">
                      <a:noFill/>
                      <a:headEnd/>
                      <a:tailEnd/>
                    </a:ln>
                  </pic:spPr>
                </pic:pic>
              </a:graphicData>
            </a:graphic>
          </wp:inline>
        </w:drawing>
      </w:r>
    </w:p>
    <w:p>
      <w:pPr>
        <w:pStyle w:val="ImageCaption"/>
      </w:pPr>
      <w:r>
        <w:t xml:space="preserve">profile_password_screenshot.png</w:t>
      </w:r>
    </w:p>
    <w:p>
      <w:pPr>
        <w:pStyle w:val="a0"/>
      </w:pPr>
      <w:r>
        <w:t xml:space="preserve"> </w:t>
      </w:r>
      <w:r>
        <w:t xml:space="preserve"> </w:t>
      </w:r>
      <w:r>
        <w:t xml:space="preserve">本页面是量化咨询客户关系管理系统的密码修改功能界面，用户可通过此页面安全地更新账户密码。操作流程如下：</w:t>
      </w:r>
    </w:p>
    <w:p>
      <w:pPr>
        <w:pStyle w:val="a0"/>
      </w:pPr>
      <w:r>
        <w:t xml:space="preserve">首先，在页面顶部的”修改密码”卡片中查看安全提示，了解密码修改的重要性。系统要求密码必须包含大小写字母、数字和特殊字符，且长度不少于8位。</w:t>
      </w:r>
    </w:p>
    <w:p>
      <w:pPr>
        <w:pStyle w:val="a0"/>
      </w:pPr>
      <w:r>
        <w:t xml:space="preserve">开始修改密码时，需按顺序完成以下步骤：</w:t>
      </w:r>
      <w:r>
        <w:t xml:space="preserve"> </w:t>
      </w:r>
      <w:r>
        <w:t xml:space="preserve">- 在当前密码字段输入您正在使用的登录密码</w:t>
      </w:r>
      <w:r>
        <w:t xml:space="preserve"> </w:t>
      </w:r>
      <w:r>
        <w:t xml:space="preserve">- 在新密码字段创建符合安全要求的新密码</w:t>
      </w:r>
      <w:r>
        <w:t xml:space="preserve"> </w:t>
      </w:r>
      <w:r>
        <w:t xml:space="preserve">- 在确认新密码字段再次输入相同的新密码</w:t>
      </w:r>
    </w:p>
    <w:p>
      <w:pPr>
        <w:pStyle w:val="a0"/>
      </w:pPr>
      <w:r>
        <w:t xml:space="preserve">在输入新密码过程中，系统会实时显示密码强度指示器，通过进度条和文字提示直观展示密码安全级别。您可以通过每个密码字段右侧的眼睛图标切换显示/隐藏密码内容，方便核对输入准确性。</w:t>
      </w:r>
    </w:p>
    <w:p>
      <w:pPr>
        <w:pStyle w:val="a0"/>
      </w:pPr>
      <w:r>
        <w:t xml:space="preserve">完成所有字段填写后，点击右下角的”确认修改”按钮提交表单。系统将自动验证：</w:t>
      </w:r>
      <w:r>
        <w:t xml:space="preserve"> </w:t>
      </w:r>
      <w:r>
        <w:t xml:space="preserve">- 当前密码是否已填写</w:t>
      </w:r>
      <w:r>
        <w:t xml:space="preserve"> </w:t>
      </w:r>
      <w:r>
        <w:t xml:space="preserve">- 新密码是否符合复杂度要求</w:t>
      </w:r>
      <w:r>
        <w:t xml:space="preserve"> </w:t>
      </w:r>
      <w:r>
        <w:t xml:space="preserve">- 两次输入的新密码是否一致</w:t>
      </w:r>
    </w:p>
    <w:p>
      <w:pPr>
        <w:pStyle w:val="a0"/>
      </w:pPr>
      <w:r>
        <w:t xml:space="preserve">若验证通过，页面将显示成功提示信息，表单自动重置。如需返回上一页面，可点击”返回”按钮。</w:t>
      </w:r>
    </w:p>
    <w:p>
      <w:pPr>
        <w:pStyle w:val="a0"/>
      </w:pPr>
      <w:r>
        <w:t xml:space="preserve">页面底部还提供了详细的密码安全建议，包括定期更换密码、避免使用个人信息、不在多个网站使用相同密码等最佳实践，建议用户仔细阅读以增强账户安全性。</w:t>
      </w:r>
    </w:p>
    <w:bookmarkEnd w:id="185"/>
    <w:bookmarkStart w:id="189" w:name="偏好设置"/>
    <w:p>
      <w:pPr>
        <w:pStyle w:val="4"/>
      </w:pPr>
      <w:r>
        <w:t xml:space="preserve">6.9.3 偏好设置</w:t>
      </w:r>
    </w:p>
    <w:p>
      <w:pPr>
        <w:pStyle w:val="FirstParagraph"/>
      </w:pPr>
      <w:r>
        <w:t xml:space="preserve"> </w:t>
      </w:r>
    </w:p>
    <w:p>
      <w:pPr>
        <w:pStyle w:val="CaptionedFigure"/>
      </w:pPr>
      <w:r>
        <w:drawing>
          <wp:inline>
            <wp:extent cx="5270500" cy="3914444"/>
            <wp:effectExtent b="0" l="0" r="0" t="0"/>
            <wp:docPr descr="profile_preferences_screenshot.png" title="" id="187" name="Picture"/>
            <a:graphic>
              <a:graphicData uri="http://schemas.openxmlformats.org/drawingml/2006/picture">
                <pic:pic>
                  <pic:nvPicPr>
                    <pic:cNvPr descr="output/95bb2b01/src/preview/screenshots/profile_preferences_screenshot.png" id="188" name="Picture"/>
                    <pic:cNvPicPr>
                      <a:picLocks noChangeArrowheads="1" noChangeAspect="1"/>
                    </pic:cNvPicPr>
                  </pic:nvPicPr>
                  <pic:blipFill>
                    <a:blip r:embed="rId186"/>
                    <a:stretch>
                      <a:fillRect/>
                    </a:stretch>
                  </pic:blipFill>
                  <pic:spPr bwMode="auto">
                    <a:xfrm>
                      <a:off x="0" y="0"/>
                      <a:ext cx="5270500" cy="3914444"/>
                    </a:xfrm>
                    <a:prstGeom prst="rect">
                      <a:avLst/>
                    </a:prstGeom>
                    <a:noFill/>
                    <a:ln w="9525">
                      <a:noFill/>
                      <a:headEnd/>
                      <a:tailEnd/>
                    </a:ln>
                  </pic:spPr>
                </pic:pic>
              </a:graphicData>
            </a:graphic>
          </wp:inline>
        </w:drawing>
      </w:r>
    </w:p>
    <w:p>
      <w:pPr>
        <w:pStyle w:val="ImageCaption"/>
      </w:pPr>
      <w:r>
        <w:t xml:space="preserve">profile_preferences_screenshot.png</w:t>
      </w:r>
    </w:p>
    <w:p>
      <w:pPr>
        <w:pStyle w:val="a0"/>
      </w:pPr>
      <w:r>
        <w:t xml:space="preserve"> </w:t>
      </w:r>
      <w:r>
        <w:t xml:space="preserve"> </w:t>
      </w:r>
      <w:r>
        <w:t xml:space="preserve">本页面为量化咨询客户关系管理系统的偏好设置模块，用户可在此全面自定义个人工作环境。操作流程围绕一个包含四个主要设置区域和一组操作按钮的表单展开。</w:t>
      </w:r>
    </w:p>
    <w:p>
      <w:pPr>
        <w:pStyle w:val="a0"/>
      </w:pPr>
      <w:r>
        <w:t xml:space="preserve">首先，在工作台布局设置区域，用户需设定默认的视图模式，可在网格视图与列表视图间选择。接着配置侧边栏位置，可选左侧、右侧或隐藏。最后，通过勾选或取消勾选，决定在工作台显示的六个功能模块，包括客户概览、最近活动、业绩指标、快速操作、待办事项及系统通知。</w:t>
      </w:r>
    </w:p>
    <w:p>
      <w:pPr>
        <w:pStyle w:val="a0"/>
      </w:pPr>
      <w:r>
        <w:t xml:space="preserve">其次，在图表显示设置区域，用户需选择系统默认的图表类型，包括柱状图、折线图和饼图。随后选择图表颜色主题，并可通过开关控制是否显示数据标签及启用图表动画效果。</w:t>
      </w:r>
    </w:p>
    <w:p>
      <w:pPr>
        <w:pStyle w:val="a0"/>
      </w:pPr>
      <w:r>
        <w:t xml:space="preserve">第三，在数据更新设置区域，用户需设定系统自动刷新数据的间隔时间，或选择手动刷新。同时设定数据的保留周期。此外，可通过开关决定是否启用实时数据更新功能。</w:t>
      </w:r>
    </w:p>
    <w:p>
      <w:pPr>
        <w:pStyle w:val="a0"/>
      </w:pPr>
      <w:r>
        <w:t xml:space="preserve">最后，在其他偏好设置区域，用户需依次设置界面语言、所在时区、系统日期显示格式以及列表页面默认的每页显示条目数量。还可通过开关启用紧凑显示模式以节省屏幕空间。</w:t>
      </w:r>
    </w:p>
    <w:p>
      <w:pPr>
        <w:pStyle w:val="a0"/>
      </w:pPr>
      <w:r>
        <w:t xml:space="preserve">完成所有设置后，点击页面右下角的“保存设置”按钮以应用更改，系统将弹出成功提示。若需恢复至系统默认或上次保存的配置，可点击“重置”按钮。所有设置旨在提升用户在处理客户数据、进行量化分析及跟进服务流程时的个性化体验与操作效率。</w:t>
      </w:r>
    </w:p>
    <w:bookmarkEnd w:id="189"/>
    <w:bookmarkEnd w:id="190"/>
    <w:bookmarkStart w:id="203" w:name="安全日志"/>
    <w:p>
      <w:pPr>
        <w:pStyle w:val="3"/>
      </w:pPr>
      <w:r>
        <w:t xml:space="preserve">6.10 安全日志</w:t>
      </w:r>
    </w:p>
    <w:bookmarkStart w:id="194" w:name="操作日志"/>
    <w:p>
      <w:pPr>
        <w:pStyle w:val="4"/>
      </w:pPr>
      <w:r>
        <w:t xml:space="preserve">6.10.1 操作日志</w:t>
      </w:r>
    </w:p>
    <w:p>
      <w:pPr>
        <w:pStyle w:val="FirstParagraph"/>
      </w:pPr>
      <w:r>
        <w:t xml:space="preserve"> </w:t>
      </w:r>
    </w:p>
    <w:p>
      <w:pPr>
        <w:pStyle w:val="CaptionedFigure"/>
      </w:pPr>
      <w:r>
        <w:drawing>
          <wp:inline>
            <wp:extent cx="5270500" cy="3272102"/>
            <wp:effectExtent b="0" l="0" r="0" t="0"/>
            <wp:docPr descr="audit_operation_screenshot.png" title="" id="192" name="Picture"/>
            <a:graphic>
              <a:graphicData uri="http://schemas.openxmlformats.org/drawingml/2006/picture">
                <pic:pic>
                  <pic:nvPicPr>
                    <pic:cNvPr descr="output/95bb2b01/src/preview/screenshots/audit_operation_screenshot.png" id="193" name="Picture"/>
                    <pic:cNvPicPr>
                      <a:picLocks noChangeArrowheads="1" noChangeAspect="1"/>
                    </pic:cNvPicPr>
                  </pic:nvPicPr>
                  <pic:blipFill>
                    <a:blip r:embed="rId191"/>
                    <a:stretch>
                      <a:fillRect/>
                    </a:stretch>
                  </pic:blipFill>
                  <pic:spPr bwMode="auto">
                    <a:xfrm>
                      <a:off x="0" y="0"/>
                      <a:ext cx="5270500" cy="3272102"/>
                    </a:xfrm>
                    <a:prstGeom prst="rect">
                      <a:avLst/>
                    </a:prstGeom>
                    <a:noFill/>
                    <a:ln w="9525">
                      <a:noFill/>
                      <a:headEnd/>
                      <a:tailEnd/>
                    </a:ln>
                  </pic:spPr>
                </pic:pic>
              </a:graphicData>
            </a:graphic>
          </wp:inline>
        </w:drawing>
      </w:r>
    </w:p>
    <w:p>
      <w:pPr>
        <w:pStyle w:val="ImageCaption"/>
      </w:pPr>
      <w:r>
        <w:t xml:space="preserve">audit_operation_screenshot.png</w:t>
      </w:r>
    </w:p>
    <w:p>
      <w:pPr>
        <w:pStyle w:val="a0"/>
      </w:pPr>
      <w:r>
        <w:t xml:space="preserve"> </w:t>
      </w:r>
      <w:r>
        <w:t xml:space="preserve"> </w:t>
      </w:r>
      <w:r>
        <w:t xml:space="preserve">本页面为操作日志审计模块，提供系统内所有用户操作的完整追踪记录。页面顶部设有统计概览区域，直观展示今日操作总量、异常操作次数、活跃用户数及系统安全等级，便于快速掌握整体运营状况。</w:t>
      </w:r>
    </w:p>
    <w:p>
      <w:pPr>
        <w:pStyle w:val="a0"/>
      </w:pPr>
      <w:r>
        <w:t xml:space="preserve">用户可通过筛选工具栏对日志进行精确查询：</w:t>
      </w:r>
      <w:r>
        <w:t xml:space="preserve"> </w:t>
      </w:r>
      <w:r>
        <w:t xml:space="preserve">- 选择操作时间范围，限定查询时段</w:t>
      </w:r>
      <w:r>
        <w:t xml:space="preserve"> </w:t>
      </w:r>
      <w:r>
        <w:t xml:space="preserve">- 筛选特定操作用户，聚焦个人行为记录</w:t>
      </w:r>
      <w:r>
        <w:t xml:space="preserve"> </w:t>
      </w:r>
      <w:r>
        <w:t xml:space="preserve">- 按操作模块分类，查看客户管理、量化分析等不同功能区域日志</w:t>
      </w:r>
      <w:r>
        <w:t xml:space="preserve"> </w:t>
      </w:r>
      <w:r>
        <w:t xml:space="preserve">- 根据操作结果状态，筛选成功、失败或异常记录</w:t>
      </w:r>
      <w:r>
        <w:t xml:space="preserve"> </w:t>
      </w:r>
      <w:r>
        <w:t xml:space="preserve">点击搜索按钮应用筛选条件，或使用重置功能恢复默认视图</w:t>
      </w:r>
    </w:p>
    <w:p>
      <w:pPr>
        <w:pStyle w:val="a0"/>
      </w:pPr>
      <w:r>
        <w:t xml:space="preserve">操作日志表格详细记录每项操作的时间、用户、模块、类型、内容、IP地址及执行结果。用户可通过每行末尾的查看按钮深入了解操作详情。表格支持分页浏览，底部显示记录总数和页面导航。</w:t>
      </w:r>
    </w:p>
    <w:p>
      <w:pPr>
        <w:pStyle w:val="a0"/>
      </w:pPr>
      <w:r>
        <w:t xml:space="preserve">页面底部设有数据可视化区域：</w:t>
      </w:r>
      <w:r>
        <w:t xml:space="preserve"> </w:t>
      </w:r>
      <w:r>
        <w:t xml:space="preserve">- 操作类型分布图表展示数据修改、报告生成等操作的占比情况</w:t>
      </w:r>
      <w:r>
        <w:t xml:space="preserve"> </w:t>
      </w:r>
      <w:r>
        <w:t xml:space="preserve">- 操作时间分布图表揭示系统使用的高峰时段规律</w:t>
      </w:r>
      <w:r>
        <w:t xml:space="preserve"> </w:t>
      </w:r>
      <w:r>
        <w:t xml:space="preserve">此外，页面提供导出日志功能，可将当前视图下的操作记录导出为文件，便于离线分析或归档保存。</w:t>
      </w:r>
    </w:p>
    <w:bookmarkEnd w:id="194"/>
    <w:bookmarkStart w:id="198" w:name="登录日志"/>
    <w:p>
      <w:pPr>
        <w:pStyle w:val="4"/>
      </w:pPr>
      <w:r>
        <w:t xml:space="preserve">6.10.2 登录日志</w:t>
      </w:r>
    </w:p>
    <w:p>
      <w:pPr>
        <w:pStyle w:val="FirstParagraph"/>
      </w:pPr>
      <w:r>
        <w:t xml:space="preserve"> </w:t>
      </w:r>
    </w:p>
    <w:p>
      <w:pPr>
        <w:pStyle w:val="CaptionedFigure"/>
      </w:pPr>
      <w:r>
        <w:drawing>
          <wp:inline>
            <wp:extent cx="5270500" cy="4304241"/>
            <wp:effectExtent b="0" l="0" r="0" t="0"/>
            <wp:docPr descr="audit_login_screenshot.png" title="" id="196" name="Picture"/>
            <a:graphic>
              <a:graphicData uri="http://schemas.openxmlformats.org/drawingml/2006/picture">
                <pic:pic>
                  <pic:nvPicPr>
                    <pic:cNvPr descr="output/95bb2b01/src/preview/screenshots/audit_login_screenshot.png" id="197" name="Picture"/>
                    <pic:cNvPicPr>
                      <a:picLocks noChangeArrowheads="1" noChangeAspect="1"/>
                    </pic:cNvPicPr>
                  </pic:nvPicPr>
                  <pic:blipFill>
                    <a:blip r:embed="rId195"/>
                    <a:stretch>
                      <a:fillRect/>
                    </a:stretch>
                  </pic:blipFill>
                  <pic:spPr bwMode="auto">
                    <a:xfrm>
                      <a:off x="0" y="0"/>
                      <a:ext cx="5270500" cy="4304241"/>
                    </a:xfrm>
                    <a:prstGeom prst="rect">
                      <a:avLst/>
                    </a:prstGeom>
                    <a:noFill/>
                    <a:ln w="9525">
                      <a:noFill/>
                      <a:headEnd/>
                      <a:tailEnd/>
                    </a:ln>
                  </pic:spPr>
                </pic:pic>
              </a:graphicData>
            </a:graphic>
          </wp:inline>
        </w:drawing>
      </w:r>
    </w:p>
    <w:p>
      <w:pPr>
        <w:pStyle w:val="ImageCaption"/>
      </w:pPr>
      <w:r>
        <w:t xml:space="preserve">audit_login_screenshot.png</w:t>
      </w:r>
    </w:p>
    <w:p>
      <w:pPr>
        <w:pStyle w:val="a0"/>
      </w:pPr>
      <w:r>
        <w:t xml:space="preserve"> </w:t>
      </w:r>
      <w:r>
        <w:t xml:space="preserve"> </w:t>
      </w:r>
      <w:r>
        <w:t xml:space="preserve">本页面为量化咨询客户关系管理系统的登录日志审计模块，主要用于监控和分析用户登录行为，保障系统访问安全。操作流程如下：</w:t>
      </w:r>
    </w:p>
    <w:p>
      <w:pPr>
        <w:pStyle w:val="a0"/>
      </w:pPr>
      <w:r>
        <w:t xml:space="preserve">首先，页面顶部的统计卡片区域提供了关键指标的概览，包括今日登录总次数、成功登录次数、异常登录次数以及活跃设备数量，方便管理员快速掌握整体登录状况。</w:t>
      </w:r>
    </w:p>
    <w:p>
      <w:pPr>
        <w:pStyle w:val="a0"/>
      </w:pPr>
      <w:r>
        <w:t xml:space="preserve">在筛选条件区域，管理员可以根据具体需求进行数据过滤：</w:t>
      </w:r>
      <w:r>
        <w:t xml:space="preserve"> </w:t>
      </w:r>
      <w:r>
        <w:t xml:space="preserve">- 输入用户名进行精确查询</w:t>
      </w:r>
      <w:r>
        <w:t xml:space="preserve"> </w:t>
      </w:r>
      <w:r>
        <w:t xml:space="preserve">- 选择登录状态（成功、失败或可疑）</w:t>
      </w:r>
      <w:r>
        <w:t xml:space="preserve"> </w:t>
      </w:r>
      <w:r>
        <w:t xml:space="preserve">- 指定登录日期范围</w:t>
      </w:r>
      <w:r>
        <w:t xml:space="preserve"> </w:t>
      </w:r>
      <w:r>
        <w:t xml:space="preserve">- 筛选设备类型（桌面端、移动端或平板）</w:t>
      </w:r>
      <w:r>
        <w:t xml:space="preserve"> </w:t>
      </w:r>
      <w:r>
        <w:t xml:space="preserve">完成筛选条件设置后，点击搜索按钮即可应用筛选，如需重新设置可点击重置按钮。</w:t>
      </w:r>
    </w:p>
    <w:p>
      <w:pPr>
        <w:pStyle w:val="a0"/>
      </w:pPr>
      <w:r>
        <w:t xml:space="preserve">登录历史记录表格展示了详细的登录信息，包含用户名、登录时间、IP地址、地理位置、设备信息、浏览器类型和登录状态等字段。对于每一条记录，管理员可以：</w:t>
      </w:r>
      <w:r>
        <w:t xml:space="preserve"> </w:t>
      </w:r>
      <w:r>
        <w:t xml:space="preserve">- 点击查看详情按钮（眼睛图标）了解完整登录信息</w:t>
      </w:r>
      <w:r>
        <w:t xml:space="preserve"> </w:t>
      </w:r>
      <w:r>
        <w:t xml:space="preserve">- 对可疑登录记录点击标记异常按钮（感叹号图标）</w:t>
      </w:r>
      <w:r>
        <w:t xml:space="preserve"> </w:t>
      </w:r>
      <w:r>
        <w:t xml:space="preserve">- 对失败登录记录可查看具体错误原因</w:t>
      </w:r>
    </w:p>
    <w:p>
      <w:pPr>
        <w:pStyle w:val="a0"/>
      </w:pPr>
      <w:r>
        <w:t xml:space="preserve">表格下方提供了分页导航，便于浏览大量历史记录。页面底部的图表区域预留了设备类型分布和登录趋势分析的可视化展示空间，在实际部署中将通过图表库呈现更直观的数据分析结果。</w:t>
      </w:r>
    </w:p>
    <w:p>
      <w:pPr>
        <w:pStyle w:val="a0"/>
      </w:pPr>
      <w:r>
        <w:t xml:space="preserve">此外，页面右上角提供了两个实用功能按钮：刷新按钮用于更新最新数据，导出按钮可将当前筛选条件下的日志数据导出为文件，便于进一步分析或存档。</w:t>
      </w:r>
    </w:p>
    <w:bookmarkEnd w:id="198"/>
    <w:bookmarkStart w:id="202" w:name="数据访问日志"/>
    <w:p>
      <w:pPr>
        <w:pStyle w:val="4"/>
      </w:pPr>
      <w:r>
        <w:t xml:space="preserve">6.10.3 数据访问日志</w:t>
      </w:r>
    </w:p>
    <w:p>
      <w:pPr>
        <w:pStyle w:val="FirstParagraph"/>
      </w:pPr>
      <w:r>
        <w:t xml:space="preserve"> </w:t>
      </w:r>
    </w:p>
    <w:p>
      <w:pPr>
        <w:pStyle w:val="CaptionedFigure"/>
      </w:pPr>
      <w:r>
        <w:drawing>
          <wp:inline>
            <wp:extent cx="5270500" cy="4298751"/>
            <wp:effectExtent b="0" l="0" r="0" t="0"/>
            <wp:docPr descr="audit_data_access_screenshot.png" title="" id="200" name="Picture"/>
            <a:graphic>
              <a:graphicData uri="http://schemas.openxmlformats.org/drawingml/2006/picture">
                <pic:pic>
                  <pic:nvPicPr>
                    <pic:cNvPr descr="output/95bb2b01/src/preview/screenshots/audit_data_access_screenshot.png" id="201" name="Picture"/>
                    <pic:cNvPicPr>
                      <a:picLocks noChangeArrowheads="1" noChangeAspect="1"/>
                    </pic:cNvPicPr>
                  </pic:nvPicPr>
                  <pic:blipFill>
                    <a:blip r:embed="rId199"/>
                    <a:stretch>
                      <a:fillRect/>
                    </a:stretch>
                  </pic:blipFill>
                  <pic:spPr bwMode="auto">
                    <a:xfrm>
                      <a:off x="0" y="0"/>
                      <a:ext cx="5270500" cy="4298751"/>
                    </a:xfrm>
                    <a:prstGeom prst="rect">
                      <a:avLst/>
                    </a:prstGeom>
                    <a:noFill/>
                    <a:ln w="9525">
                      <a:noFill/>
                      <a:headEnd/>
                      <a:tailEnd/>
                    </a:ln>
                  </pic:spPr>
                </pic:pic>
              </a:graphicData>
            </a:graphic>
          </wp:inline>
        </w:drawing>
      </w:r>
    </w:p>
    <w:p>
      <w:pPr>
        <w:pStyle w:val="ImageCaption"/>
      </w:pPr>
      <w:r>
        <w:t xml:space="preserve">audit_data_access_screenshot.png</w:t>
      </w:r>
    </w:p>
    <w:p>
      <w:pPr>
        <w:pStyle w:val="a0"/>
      </w:pPr>
      <w:r>
        <w:t xml:space="preserve"> </w:t>
      </w:r>
      <w:r>
        <w:t xml:space="preserve"> </w:t>
      </w:r>
      <w:r>
        <w:t xml:space="preserve">数据访问日志页面是用于监控和审计客户数据访问行为的重要安全管理模块。用户可通过该页面全面掌握系统数据访问情况，识别异常操作并确保合规性。</w:t>
      </w:r>
    </w:p>
    <w:p>
      <w:pPr>
        <w:pStyle w:val="a0"/>
      </w:pPr>
      <w:r>
        <w:t xml:space="preserve">进入页面后，首先查看顶部的统计卡片区域，快速了解今日访问次数、异常操作、数据修改次数和涉及客户数等关键指标。这些数据帮助用户快速评估当前数据安全状况。</w:t>
      </w:r>
    </w:p>
    <w:p>
      <w:pPr>
        <w:pStyle w:val="a0"/>
      </w:pPr>
      <w:r>
        <w:t xml:space="preserve">在筛选条件区域，用户可根据需要设置查询条件：</w:t>
      </w:r>
      <w:r>
        <w:t xml:space="preserve"> </w:t>
      </w:r>
      <w:r>
        <w:t xml:space="preserve">- 选择时间范围（今天/最近7天/最近30天/自定义）</w:t>
      </w:r>
      <w:r>
        <w:t xml:space="preserve"> </w:t>
      </w:r>
      <w:r>
        <w:t xml:space="preserve">- 筛选操作类型（查看/修改/删除/导出等）</w:t>
      </w:r>
      <w:r>
        <w:t xml:space="preserve"> </w:t>
      </w:r>
      <w:r>
        <w:t xml:space="preserve">- 选择特定操作用户</w:t>
      </w:r>
      <w:r>
        <w:t xml:space="preserve"> </w:t>
      </w:r>
      <w:r>
        <w:t xml:space="preserve">- 输入客户名称进行精确查询</w:t>
      </w:r>
      <w:r>
        <w:t xml:space="preserve"> </w:t>
      </w:r>
      <w:r>
        <w:t xml:space="preserve">设置完成后点击”查询”按钮获取相应记录，或使用”重置”按钮清空条件。</w:t>
      </w:r>
    </w:p>
    <w:p>
      <w:pPr>
        <w:pStyle w:val="a0"/>
      </w:pPr>
      <w:r>
        <w:t xml:space="preserve">数据访问记录表格详细展示了每条操作的具体信息，包括操作时间、用户、类型、客户信息、访问IP、操作详情和状态。用户可点击任意行选中该记录，便于进一步查看或处理。</w:t>
      </w:r>
    </w:p>
    <w:p>
      <w:pPr>
        <w:pStyle w:val="a0"/>
      </w:pPr>
      <w:r>
        <w:t xml:space="preserve">页面底部提供两个重要功能：</w:t>
      </w:r>
      <w:r>
        <w:t xml:space="preserve"> </w:t>
      </w:r>
      <w:r>
        <w:t xml:space="preserve">- 导出日志：将当前查询结果导出为文件</w:t>
      </w:r>
      <w:r>
        <w:t xml:space="preserve"> </w:t>
      </w:r>
      <w:r>
        <w:t xml:space="preserve">- 添加备注：为特定操作记录添加说明信息</w:t>
      </w:r>
    </w:p>
    <w:p>
      <w:pPr>
        <w:pStyle w:val="a0"/>
      </w:pPr>
      <w:r>
        <w:t xml:space="preserve">异常访问提醒区域会突出显示需要重点关注的安全事件，如高风险操作、需审批行为或异常登录尝试，用户应及时处理这些提醒事项。</w:t>
      </w:r>
    </w:p>
    <w:p>
      <w:pPr>
        <w:pStyle w:val="a0"/>
      </w:pPr>
      <w:r>
        <w:t xml:space="preserve">通过分页控件可浏览更多历史记录，确保完整追溯所有数据访问行为。</w:t>
      </w:r>
    </w:p>
    <w:bookmarkEnd w:id="202"/>
    <w:bookmarkEnd w:id="203"/>
    <w:bookmarkEnd w:id="204"/>
    <w:bookmarkStart w:id="217" w:name="七系统维护"/>
    <w:p>
      <w:pPr>
        <w:pStyle w:val="20"/>
      </w:pPr>
      <w:r>
        <w:t xml:space="preserve">七、系统维护</w:t>
      </w:r>
    </w:p>
    <w:bookmarkStart w:id="207" w:name="日志与监控"/>
    <w:p>
      <w:pPr>
        <w:pStyle w:val="3"/>
      </w:pPr>
      <w:r>
        <w:t xml:space="preserve">7.1 日志与监控</w:t>
      </w:r>
    </w:p>
    <w:p>
      <w:pPr>
        <w:pStyle w:val="FirstParagraph"/>
      </w:pPr>
      <w:r>
        <w:t xml:space="preserve">为保障量化咨询客户关系管理系统的稳定运行，需建立完善的日志记录与系统监控机制。</w:t>
      </w:r>
    </w:p>
    <w:bookmarkStart w:id="205" w:name="系统监控"/>
    <w:p>
      <w:pPr>
        <w:pStyle w:val="4"/>
      </w:pPr>
      <w:r>
        <w:t xml:space="preserve">7.1.1 系统监控</w:t>
      </w:r>
    </w:p>
    <w:p>
      <w:pPr>
        <w:pStyle w:val="FirstParagraph"/>
      </w:pPr>
      <w:r>
        <w:t xml:space="preserve">日常需对以下关键指标进行持续性监控：</w:t>
      </w:r>
      <w:r>
        <w:t xml:space="preserve"> </w:t>
      </w:r>
      <w:r>
        <w:t xml:space="preserve">-</w:t>
      </w:r>
      <w:r>
        <w:t xml:space="preserve"> </w:t>
      </w:r>
      <w:r>
        <w:rPr>
          <w:bCs/>
          <w:b/>
        </w:rPr>
        <w:t xml:space="preserve">系统性能指标</w:t>
      </w:r>
      <w:r>
        <w:t xml:space="preserve">：监控CPU使用率、内存占用、磁盘I/O及网络带宽，确保资源充足。</w:t>
      </w:r>
      <w:r>
        <w:t xml:space="preserve"> </w:t>
      </w:r>
      <w:r>
        <w:t xml:space="preserve">-</w:t>
      </w:r>
      <w:r>
        <w:t xml:space="preserve"> </w:t>
      </w:r>
      <w:r>
        <w:rPr>
          <w:bCs/>
          <w:b/>
        </w:rPr>
        <w:t xml:space="preserve">应用服务状态</w:t>
      </w:r>
      <w:r>
        <w:t xml:space="preserve">：监控Java应用进程、Node.js服务及PostgreSQL数据库的连接数与活跃会话。</w:t>
      </w:r>
      <w:r>
        <w:t xml:space="preserve"> </w:t>
      </w:r>
      <w:r>
        <w:t xml:space="preserve">-</w:t>
      </w:r>
      <w:r>
        <w:t xml:space="preserve"> </w:t>
      </w:r>
      <w:r>
        <w:rPr>
          <w:bCs/>
          <w:b/>
        </w:rPr>
        <w:t xml:space="preserve">数据库性能</w:t>
      </w:r>
      <w:r>
        <w:t xml:space="preserve">：关注PostgreSQL的慢查询日志、锁等待情况及连接池状态。</w:t>
      </w:r>
      <w:r>
        <w:t xml:space="preserve"> </w:t>
      </w:r>
      <w:r>
        <w:t xml:space="preserve">-</w:t>
      </w:r>
      <w:r>
        <w:t xml:space="preserve"> </w:t>
      </w:r>
      <w:r>
        <w:rPr>
          <w:bCs/>
          <w:b/>
        </w:rPr>
        <w:t xml:space="preserve">关键业务接口</w:t>
      </w:r>
      <w:r>
        <w:t xml:space="preserve">：对客户价值分析、报告生成等核心功能的响应时间与成功率进行监控。</w:t>
      </w:r>
    </w:p>
    <w:bookmarkEnd w:id="205"/>
    <w:bookmarkStart w:id="206" w:name="日志管理"/>
    <w:p>
      <w:pPr>
        <w:pStyle w:val="4"/>
      </w:pPr>
      <w:r>
        <w:t xml:space="preserve">7.1.2 日志管理</w:t>
      </w:r>
    </w:p>
    <w:p>
      <w:pPr>
        <w:pStyle w:val="FirstParagraph"/>
      </w:pPr>
      <w:r>
        <w:t xml:space="preserve">系统日志统一存储于</w:t>
      </w:r>
      <w:r>
        <w:t xml:space="preserve"> </w:t>
      </w:r>
      <w:r>
        <w:rPr>
          <w:rStyle w:val="VerbatimChar"/>
        </w:rPr>
        <w:t xml:space="preserve">/var/log/quantcrm/</w:t>
      </w:r>
      <w:r>
        <w:t xml:space="preserve"> </w:t>
      </w:r>
      <w:r>
        <w:t xml:space="preserve">目录下，按模块划分：</w:t>
      </w:r>
      <w:r>
        <w:t xml:space="preserve"> </w:t>
      </w:r>
      <w:r>
        <w:t xml:space="preserve">-</w:t>
      </w:r>
      <w:r>
        <w:t xml:space="preserve"> </w:t>
      </w:r>
      <w:r>
        <w:rPr>
          <w:rStyle w:val="VerbatimChar"/>
        </w:rPr>
        <w:t xml:space="preserve">application.log</w:t>
      </w:r>
      <w:r>
        <w:t xml:space="preserve">：记录应用核心业务逻辑与一般信息。</w:t>
      </w:r>
      <w:r>
        <w:t xml:space="preserve"> </w:t>
      </w:r>
      <w:r>
        <w:t xml:space="preserve">-</w:t>
      </w:r>
      <w:r>
        <w:t xml:space="preserve"> </w:t>
      </w:r>
      <w:r>
        <w:rPr>
          <w:rStyle w:val="VerbatimChar"/>
        </w:rPr>
        <w:t xml:space="preserve">security.log</w:t>
      </w:r>
      <w:r>
        <w:t xml:space="preserve">：记录用户登录、权限变更及数据访问等安全事件。</w:t>
      </w:r>
      <w:r>
        <w:t xml:space="preserve"> </w:t>
      </w:r>
      <w:r>
        <w:t xml:space="preserve">-</w:t>
      </w:r>
      <w:r>
        <w:t xml:space="preserve"> </w:t>
      </w:r>
      <w:r>
        <w:rPr>
          <w:rStyle w:val="VerbatimChar"/>
        </w:rPr>
        <w:t xml:space="preserve">error.log</w:t>
      </w:r>
      <w:r>
        <w:t xml:space="preserve">：集中记录系统错误与异常堆栈信息。</w:t>
      </w:r>
    </w:p>
    <w:p>
      <w:pPr>
        <w:pStyle w:val="a0"/>
      </w:pPr>
      <w:r>
        <w:t xml:space="preserve">日志级别定义如下：</w:t>
      </w:r>
      <w:r>
        <w:t xml:space="preserve"> </w:t>
      </w:r>
      <w:r>
        <w:t xml:space="preserve">-</w:t>
      </w:r>
      <w:r>
        <w:t xml:space="preserve"> </w:t>
      </w:r>
      <w:r>
        <w:rPr>
          <w:bCs/>
          <w:b/>
        </w:rPr>
        <w:t xml:space="preserve">ERROR</w:t>
      </w:r>
      <w:r>
        <w:t xml:space="preserve">：记录系统错误和异常，需立即关注处理。</w:t>
      </w:r>
      <w:r>
        <w:t xml:space="preserve"> </w:t>
      </w:r>
      <w:r>
        <w:t xml:space="preserve">-</w:t>
      </w:r>
      <w:r>
        <w:t xml:space="preserve"> </w:t>
      </w:r>
      <w:r>
        <w:rPr>
          <w:bCs/>
          <w:b/>
        </w:rPr>
        <w:t xml:space="preserve">WARN</w:t>
      </w:r>
      <w:r>
        <w:t xml:space="preserve">：记录潜在问题，可能影响系统性能或功能。</w:t>
      </w:r>
      <w:r>
        <w:t xml:space="preserve"> </w:t>
      </w:r>
      <w:r>
        <w:t xml:space="preserve">-</w:t>
      </w:r>
      <w:r>
        <w:t xml:space="preserve"> </w:t>
      </w:r>
      <w:r>
        <w:rPr>
          <w:bCs/>
          <w:b/>
        </w:rPr>
        <w:t xml:space="preserve">INFO</w:t>
      </w:r>
      <w:r>
        <w:t xml:space="preserve">：记录常规操作信息，用于跟踪系统运行状态。</w:t>
      </w:r>
      <w:r>
        <w:t xml:space="preserve"> </w:t>
      </w:r>
      <w:r>
        <w:t xml:space="preserve">-</w:t>
      </w:r>
      <w:r>
        <w:t xml:space="preserve"> </w:t>
      </w:r>
      <w:r>
        <w:rPr>
          <w:bCs/>
          <w:b/>
        </w:rPr>
        <w:t xml:space="preserve">DEBUG</w:t>
      </w:r>
      <w:r>
        <w:t xml:space="preserve">：记录详细调试信息，仅在排查问题时开启。</w:t>
      </w:r>
    </w:p>
    <w:bookmarkEnd w:id="206"/>
    <w:bookmarkEnd w:id="207"/>
    <w:bookmarkStart w:id="210" w:name="备份与升级"/>
    <w:p>
      <w:pPr>
        <w:pStyle w:val="3"/>
      </w:pPr>
      <w:r>
        <w:t xml:space="preserve">7.2 备份与升级</w:t>
      </w:r>
    </w:p>
    <w:bookmarkStart w:id="208" w:name="数据备份策略"/>
    <w:p>
      <w:pPr>
        <w:pStyle w:val="4"/>
      </w:pPr>
      <w:r>
        <w:t xml:space="preserve">7.2.1 数据备份策略</w:t>
      </w:r>
    </w:p>
    <w:p>
      <w:pPr>
        <w:pStyle w:val="FirstParagraph"/>
      </w:pPr>
      <w:r>
        <w:t xml:space="preserve">为确保业务数据安全，制定多层次备份方案：</w:t>
      </w:r>
      <w:r>
        <w:t xml:space="preserve"> </w:t>
      </w:r>
      <w:r>
        <w:t xml:space="preserve">-</w:t>
      </w:r>
      <w:r>
        <w:t xml:space="preserve"> </w:t>
      </w:r>
      <w:r>
        <w:rPr>
          <w:bCs/>
          <w:b/>
        </w:rPr>
        <w:t xml:space="preserve">备份频率</w:t>
      </w:r>
      <w:r>
        <w:t xml:space="preserve">：</w:t>
      </w:r>
      <w:r>
        <w:t xml:space="preserve"> </w:t>
      </w:r>
      <w:r>
        <w:t xml:space="preserve">- 业务数据：每日凌晨进行增量备份，每周日进行全量备份。</w:t>
      </w:r>
      <w:r>
        <w:t xml:space="preserve"> </w:t>
      </w:r>
      <w:r>
        <w:t xml:space="preserve">- 系统配置：每月备份一次，或在配置变更后立即备份。</w:t>
      </w:r>
      <w:r>
        <w:t xml:space="preserve"> </w:t>
      </w:r>
      <w:r>
        <w:t xml:space="preserve">-</w:t>
      </w:r>
      <w:r>
        <w:t xml:space="preserve"> </w:t>
      </w:r>
      <w:r>
        <w:rPr>
          <w:bCs/>
          <w:b/>
        </w:rPr>
        <w:t xml:space="preserve">备份内容</w:t>
      </w:r>
      <w:r>
        <w:t xml:space="preserve">：</w:t>
      </w:r>
      <w:r>
        <w:t xml:space="preserve"> </w:t>
      </w:r>
      <w:r>
        <w:t xml:space="preserve">- PostgreSQL数据库：包含所有业务数据及用户权限信息。</w:t>
      </w:r>
      <w:r>
        <w:t xml:space="preserve"> </w:t>
      </w:r>
      <w:r>
        <w:t xml:space="preserve">- 应用程序：备份编译后的JAR包、前端静态资源及配置文件。</w:t>
      </w:r>
      <w:r>
        <w:t xml:space="preserve"> </w:t>
      </w:r>
      <w:r>
        <w:t xml:space="preserve">- 日志文件：备份最近30天的安全日志与操作日志。</w:t>
      </w:r>
      <w:r>
        <w:t xml:space="preserve"> </w:t>
      </w:r>
      <w:r>
        <w:t xml:space="preserve">-</w:t>
      </w:r>
      <w:r>
        <w:t xml:space="preserve"> </w:t>
      </w:r>
      <w:r>
        <w:rPr>
          <w:bCs/>
          <w:b/>
        </w:rPr>
        <w:t xml:space="preserve">备份存储</w:t>
      </w:r>
      <w:r>
        <w:t xml:space="preserve">：</w:t>
      </w:r>
      <w:r>
        <w:t xml:space="preserve"> </w:t>
      </w:r>
      <w:r>
        <w:t xml:space="preserve">- 本地保留最近7天备份于专用备份服务器。</w:t>
      </w:r>
      <w:r>
        <w:t xml:space="preserve"> </w:t>
      </w:r>
      <w:r>
        <w:t xml:space="preserve">- 异机保留最近30天备份于物理隔离的存储设备。</w:t>
      </w:r>
    </w:p>
    <w:bookmarkEnd w:id="208"/>
    <w:bookmarkStart w:id="209" w:name="系统升级流程"/>
    <w:p>
      <w:pPr>
        <w:pStyle w:val="4"/>
      </w:pPr>
      <w:r>
        <w:t xml:space="preserve">7.2.2 系统升级流程</w:t>
      </w:r>
    </w:p>
    <w:p>
      <w:pPr>
        <w:pStyle w:val="FirstParagraph"/>
      </w:pPr>
      <w:r>
        <w:t xml:space="preserve">系统升级需遵循标准化流程：</w:t>
      </w:r>
      <w:r>
        <w:t xml:space="preserve"> </w:t>
      </w:r>
      <w:r>
        <w:t xml:space="preserve">-</w:t>
      </w:r>
      <w:r>
        <w:t xml:space="preserve"> </w:t>
      </w:r>
      <w:r>
        <w:rPr>
          <w:bCs/>
          <w:b/>
        </w:rPr>
        <w:t xml:space="preserve">升级前准备</w:t>
      </w:r>
      <w:r>
        <w:t xml:space="preserve">：</w:t>
      </w:r>
      <w:r>
        <w:t xml:space="preserve"> </w:t>
      </w:r>
      <w:r>
        <w:t xml:space="preserve">- 通知所有用户系统维护时间窗口。</w:t>
      </w:r>
      <w:r>
        <w:t xml:space="preserve"> </w:t>
      </w:r>
      <w:r>
        <w:t xml:space="preserve">- 验证备份数据的完整性与可恢复性。</w:t>
      </w:r>
      <w:r>
        <w:t xml:space="preserve"> </w:t>
      </w:r>
      <w:r>
        <w:t xml:space="preserve">- 在测试环境完成升级演练与功能验证。</w:t>
      </w:r>
      <w:r>
        <w:t xml:space="preserve"> </w:t>
      </w:r>
      <w:r>
        <w:t xml:space="preserve">-</w:t>
      </w:r>
      <w:r>
        <w:t xml:space="preserve"> </w:t>
      </w:r>
      <w:r>
        <w:rPr>
          <w:bCs/>
          <w:b/>
        </w:rPr>
        <w:t xml:space="preserve">升级步骤</w:t>
      </w:r>
      <w:r>
        <w:t xml:space="preserve">：</w:t>
      </w:r>
      <w:r>
        <w:t xml:space="preserve"> </w:t>
      </w:r>
      <w:r>
        <w:t xml:space="preserve">- 停止当前运行的应用服务。</w:t>
      </w:r>
      <w:r>
        <w:t xml:space="preserve"> </w:t>
      </w:r>
      <w:r>
        <w:t xml:space="preserve">- 部署新的应用程序包与数据库脚本。</w:t>
      </w:r>
      <w:r>
        <w:t xml:space="preserve"> </w:t>
      </w:r>
      <w:r>
        <w:t xml:space="preserve">- 更新系统配置文件与依赖环境。</w:t>
      </w:r>
      <w:r>
        <w:t xml:space="preserve"> </w:t>
      </w:r>
      <w:r>
        <w:t xml:space="preserve">-</w:t>
      </w:r>
      <w:r>
        <w:t xml:space="preserve"> </w:t>
      </w:r>
      <w:r>
        <w:rPr>
          <w:bCs/>
          <w:b/>
        </w:rPr>
        <w:t xml:space="preserve">升级后验证</w:t>
      </w:r>
      <w:r>
        <w:t xml:space="preserve">：</w:t>
      </w:r>
      <w:r>
        <w:t xml:space="preserve"> </w:t>
      </w:r>
      <w:r>
        <w:t xml:space="preserve">- 启动服务并验证各模块基础功能。</w:t>
      </w:r>
      <w:r>
        <w:t xml:space="preserve"> </w:t>
      </w:r>
      <w:r>
        <w:t xml:space="preserve">- 检查核心业务流程，如客户价值分析、报告生成。</w:t>
      </w:r>
      <w:r>
        <w:t xml:space="preserve"> </w:t>
      </w:r>
      <w:r>
        <w:t xml:space="preserve">- 监控系统性能指标，确认无性能衰退。</w:t>
      </w:r>
    </w:p>
    <w:bookmarkEnd w:id="209"/>
    <w:bookmarkEnd w:id="210"/>
    <w:bookmarkStart w:id="213" w:name="性能调优"/>
    <w:p>
      <w:pPr>
        <w:pStyle w:val="3"/>
      </w:pPr>
      <w:r>
        <w:t xml:space="preserve">7.3 性能调优</w:t>
      </w:r>
    </w:p>
    <w:p>
      <w:pPr>
        <w:pStyle w:val="FirstParagraph"/>
      </w:pPr>
      <w:r>
        <w:t xml:space="preserve">针对系统可能出现的性能瓶颈，提供以下优化建议：</w:t>
      </w:r>
    </w:p>
    <w:bookmarkStart w:id="211" w:name="性能瓶颈分析"/>
    <w:p>
      <w:pPr>
        <w:pStyle w:val="4"/>
      </w:pPr>
      <w:r>
        <w:t xml:space="preserve">7.3.1 性能瓶颈分析</w:t>
      </w:r>
    </w:p>
    <w:p>
      <w:pPr>
        <w:numPr>
          <w:ilvl w:val="0"/>
          <w:numId w:val="1034"/>
        </w:numPr>
        <w:pStyle w:val="Compact"/>
      </w:pPr>
      <w:r>
        <w:rPr>
          <w:bCs/>
          <w:b/>
        </w:rPr>
        <w:t xml:space="preserve">数据库瓶颈</w:t>
      </w:r>
      <w:r>
        <w:t xml:space="preserve">：客户数据量增长导致的查询性能下降，量化分析模型计算资源占用高。</w:t>
      </w:r>
    </w:p>
    <w:p>
      <w:pPr>
        <w:numPr>
          <w:ilvl w:val="0"/>
          <w:numId w:val="1034"/>
        </w:numPr>
        <w:pStyle w:val="Compact"/>
      </w:pPr>
      <w:r>
        <w:rPr>
          <w:bCs/>
          <w:b/>
        </w:rPr>
        <w:t xml:space="preserve">应用层瓶颈</w:t>
      </w:r>
      <w:r>
        <w:t xml:space="preserve">：大量并发请求时的线程阻塞，前端组件渲染效率问题。</w:t>
      </w:r>
    </w:p>
    <w:p>
      <w:pPr>
        <w:numPr>
          <w:ilvl w:val="0"/>
          <w:numId w:val="1034"/>
        </w:numPr>
        <w:pStyle w:val="Compact"/>
      </w:pPr>
      <w:r>
        <w:rPr>
          <w:bCs/>
          <w:b/>
        </w:rPr>
        <w:t xml:space="preserve">网络瓶颈</w:t>
      </w:r>
      <w:r>
        <w:t xml:space="preserve">：大数据量报告生成与下载时的网络带宽限制。</w:t>
      </w:r>
    </w:p>
    <w:bookmarkEnd w:id="211"/>
    <w:bookmarkStart w:id="212" w:name="优化措施"/>
    <w:p>
      <w:pPr>
        <w:pStyle w:val="4"/>
      </w:pPr>
      <w:r>
        <w:t xml:space="preserve">7.3.2 优化措施</w:t>
      </w:r>
    </w:p>
    <w:p>
      <w:pPr>
        <w:numPr>
          <w:ilvl w:val="0"/>
          <w:numId w:val="1035"/>
        </w:numPr>
        <w:pStyle w:val="Compact"/>
      </w:pPr>
      <w:r>
        <w:rPr>
          <w:bCs/>
          <w:b/>
        </w:rPr>
        <w:t xml:space="preserve">数据库优化</w:t>
      </w:r>
      <w:r>
        <w:t xml:space="preserve">：</w:t>
      </w:r>
    </w:p>
    <w:p>
      <w:pPr>
        <w:numPr>
          <w:ilvl w:val="1"/>
          <w:numId w:val="1036"/>
        </w:numPr>
        <w:pStyle w:val="Compact"/>
      </w:pPr>
      <w:r>
        <w:t xml:space="preserve">为客户表、咨询记录表等核心表建立复合索引。</w:t>
      </w:r>
    </w:p>
    <w:p>
      <w:pPr>
        <w:numPr>
          <w:ilvl w:val="1"/>
          <w:numId w:val="1036"/>
        </w:numPr>
        <w:pStyle w:val="Compact"/>
      </w:pPr>
      <w:r>
        <w:t xml:space="preserve">对量化分析中的大表查询实施分页策略与查询优化。</w:t>
      </w:r>
    </w:p>
    <w:p>
      <w:pPr>
        <w:numPr>
          <w:ilvl w:val="1"/>
          <w:numId w:val="1036"/>
        </w:numPr>
        <w:pStyle w:val="Compact"/>
      </w:pPr>
      <w:r>
        <w:t xml:space="preserve">配置PostgreSQL连接池参数，减少连接建立开销。</w:t>
      </w:r>
    </w:p>
    <w:p>
      <w:pPr>
        <w:numPr>
          <w:ilvl w:val="0"/>
          <w:numId w:val="1035"/>
        </w:numPr>
        <w:pStyle w:val="Compact"/>
      </w:pPr>
      <w:r>
        <w:rPr>
          <w:bCs/>
          <w:b/>
        </w:rPr>
        <w:t xml:space="preserve">应用层优化</w:t>
      </w:r>
      <w:r>
        <w:t xml:space="preserve">：</w:t>
      </w:r>
    </w:p>
    <w:p>
      <w:pPr>
        <w:numPr>
          <w:ilvl w:val="1"/>
          <w:numId w:val="1037"/>
        </w:numPr>
        <w:pStyle w:val="Compact"/>
      </w:pPr>
      <w:r>
        <w:t xml:space="preserve">调整JVM堆内存参数，优化垃圾回收策略。</w:t>
      </w:r>
    </w:p>
    <w:p>
      <w:pPr>
        <w:numPr>
          <w:ilvl w:val="1"/>
          <w:numId w:val="1037"/>
        </w:numPr>
        <w:pStyle w:val="Compact"/>
      </w:pPr>
      <w:r>
        <w:t xml:space="preserve">对客户价值分析等计算密集型任务实施异步处理。</w:t>
      </w:r>
    </w:p>
    <w:p>
      <w:pPr>
        <w:numPr>
          <w:ilvl w:val="1"/>
          <w:numId w:val="1037"/>
        </w:numPr>
        <w:pStyle w:val="Compact"/>
      </w:pPr>
      <w:r>
        <w:t xml:space="preserve">使用Redis缓存热点客户数据与分析结果。</w:t>
      </w:r>
    </w:p>
    <w:p>
      <w:pPr>
        <w:numPr>
          <w:ilvl w:val="0"/>
          <w:numId w:val="1035"/>
        </w:numPr>
        <w:pStyle w:val="Compact"/>
      </w:pPr>
      <w:r>
        <w:rPr>
          <w:bCs/>
          <w:b/>
        </w:rPr>
        <w:t xml:space="preserve">前端优化</w:t>
      </w:r>
      <w:r>
        <w:t xml:space="preserve">：</w:t>
      </w:r>
    </w:p>
    <w:p>
      <w:pPr>
        <w:numPr>
          <w:ilvl w:val="1"/>
          <w:numId w:val="1038"/>
        </w:numPr>
        <w:pStyle w:val="Compact"/>
      </w:pPr>
      <w:r>
        <w:t xml:space="preserve">实施组件懒加载，减少初始包体积。</w:t>
      </w:r>
    </w:p>
    <w:p>
      <w:pPr>
        <w:numPr>
          <w:ilvl w:val="1"/>
          <w:numId w:val="1038"/>
        </w:numPr>
        <w:pStyle w:val="Compact"/>
      </w:pPr>
      <w:r>
        <w:t xml:space="preserve">对大型数据表格启用虚拟滚动。</w:t>
      </w:r>
    </w:p>
    <w:bookmarkEnd w:id="212"/>
    <w:bookmarkEnd w:id="213"/>
    <w:bookmarkStart w:id="216" w:name="常见故障处理"/>
    <w:p>
      <w:pPr>
        <w:pStyle w:val="3"/>
      </w:pPr>
      <w:r>
        <w:t xml:space="preserve">7.4 常见故障处理</w:t>
      </w:r>
    </w:p>
    <w:bookmarkStart w:id="214" w:name="常见故障类型"/>
    <w:p>
      <w:pPr>
        <w:pStyle w:val="4"/>
      </w:pPr>
      <w:r>
        <w:t xml:space="preserve">7.4.1 常见故障类型</w:t>
      </w:r>
    </w:p>
    <w:p>
      <w:pPr>
        <w:numPr>
          <w:ilvl w:val="0"/>
          <w:numId w:val="1039"/>
        </w:numPr>
        <w:pStyle w:val="Compact"/>
      </w:pPr>
      <w:r>
        <w:rPr>
          <w:bCs/>
          <w:b/>
        </w:rPr>
        <w:t xml:space="preserve">服务不可用</w:t>
      </w:r>
      <w:r>
        <w:t xml:space="preserve">：应用服务进程异常退出，数据库连接失败。</w:t>
      </w:r>
    </w:p>
    <w:p>
      <w:pPr>
        <w:numPr>
          <w:ilvl w:val="0"/>
          <w:numId w:val="1039"/>
        </w:numPr>
        <w:pStyle w:val="Compact"/>
      </w:pPr>
      <w:r>
        <w:rPr>
          <w:bCs/>
          <w:b/>
        </w:rPr>
        <w:t xml:space="preserve">性能下降</w:t>
      </w:r>
      <w:r>
        <w:t xml:space="preserve">：系统响应缓慢，量化分析任务执行超时。</w:t>
      </w:r>
    </w:p>
    <w:p>
      <w:pPr>
        <w:numPr>
          <w:ilvl w:val="0"/>
          <w:numId w:val="1039"/>
        </w:numPr>
        <w:pStyle w:val="Compact"/>
      </w:pPr>
      <w:r>
        <w:rPr>
          <w:bCs/>
          <w:b/>
        </w:rPr>
        <w:t xml:space="preserve">功能异常</w:t>
      </w:r>
      <w:r>
        <w:t xml:space="preserve">：客户数据展示不全，分析报告生成失败。</w:t>
      </w:r>
    </w:p>
    <w:p>
      <w:pPr>
        <w:numPr>
          <w:ilvl w:val="0"/>
          <w:numId w:val="1039"/>
        </w:numPr>
        <w:pStyle w:val="Compact"/>
      </w:pPr>
      <w:r>
        <w:rPr>
          <w:bCs/>
          <w:b/>
        </w:rPr>
        <w:t xml:space="preserve">安全事件</w:t>
      </w:r>
      <w:r>
        <w:t xml:space="preserve">：异常登录尝试，越权数据访问。</w:t>
      </w:r>
    </w:p>
    <w:bookmarkEnd w:id="214"/>
    <w:bookmarkStart w:id="215" w:name="故障处理流程"/>
    <w:p>
      <w:pPr>
        <w:pStyle w:val="4"/>
      </w:pPr>
      <w:r>
        <w:t xml:space="preserve">7.4.2 故障处理流程</w:t>
      </w:r>
    </w:p>
    <w:p>
      <w:pPr>
        <w:numPr>
          <w:ilvl w:val="0"/>
          <w:numId w:val="1040"/>
        </w:numPr>
        <w:pStyle w:val="Compact"/>
      </w:pPr>
      <w:r>
        <w:rPr>
          <w:bCs/>
          <w:b/>
        </w:rPr>
        <w:t xml:space="preserve">故障发现</w:t>
      </w:r>
      <w:r>
        <w:t xml:space="preserve">：</w:t>
      </w:r>
    </w:p>
    <w:p>
      <w:pPr>
        <w:numPr>
          <w:ilvl w:val="1"/>
          <w:numId w:val="1041"/>
        </w:numPr>
        <w:pStyle w:val="Compact"/>
      </w:pPr>
      <w:r>
        <w:t xml:space="preserve">通过监控系统告警或用户反馈发现异常。</w:t>
      </w:r>
    </w:p>
    <w:p>
      <w:pPr>
        <w:numPr>
          <w:ilvl w:val="1"/>
          <w:numId w:val="1041"/>
        </w:numPr>
        <w:pStyle w:val="Compact"/>
      </w:pPr>
      <w:r>
        <w:t xml:space="preserve">确认故障现象与影响范围。</w:t>
      </w:r>
    </w:p>
    <w:p>
      <w:pPr>
        <w:numPr>
          <w:ilvl w:val="0"/>
          <w:numId w:val="1040"/>
        </w:numPr>
        <w:pStyle w:val="Compact"/>
      </w:pPr>
      <w:r>
        <w:rPr>
          <w:bCs/>
          <w:b/>
        </w:rPr>
        <w:t xml:space="preserve">故障定位</w:t>
      </w:r>
      <w:r>
        <w:t xml:space="preserve">：</w:t>
      </w:r>
    </w:p>
    <w:p>
      <w:pPr>
        <w:numPr>
          <w:ilvl w:val="1"/>
          <w:numId w:val="1042"/>
        </w:numPr>
        <w:pStyle w:val="Compact"/>
      </w:pPr>
      <w:r>
        <w:t xml:space="preserve">检查应用日志与数据库日志，定位错误源头。</w:t>
      </w:r>
    </w:p>
    <w:p>
      <w:pPr>
        <w:numPr>
          <w:ilvl w:val="1"/>
          <w:numId w:val="1042"/>
        </w:numPr>
        <w:pStyle w:val="Compact"/>
      </w:pPr>
      <w:r>
        <w:t xml:space="preserve">使用性能监控工具分析系统资源使用情况。</w:t>
      </w:r>
    </w:p>
    <w:p>
      <w:pPr>
        <w:numPr>
          <w:ilvl w:val="1"/>
          <w:numId w:val="1042"/>
        </w:numPr>
        <w:pStyle w:val="Compact"/>
      </w:pPr>
      <w:r>
        <w:t xml:space="preserve">对分布式组件进行链路追踪，识别故障点。</w:t>
      </w:r>
    </w:p>
    <w:p>
      <w:pPr>
        <w:numPr>
          <w:ilvl w:val="0"/>
          <w:numId w:val="1040"/>
        </w:numPr>
        <w:pStyle w:val="Compact"/>
      </w:pPr>
      <w:r>
        <w:rPr>
          <w:bCs/>
          <w:b/>
        </w:rPr>
        <w:t xml:space="preserve">故障处理</w:t>
      </w:r>
      <w:r>
        <w:t xml:space="preserve">：</w:t>
      </w:r>
    </w:p>
    <w:p>
      <w:pPr>
        <w:numPr>
          <w:ilvl w:val="1"/>
          <w:numId w:val="1043"/>
        </w:numPr>
        <w:pStyle w:val="Compact"/>
      </w:pPr>
      <w:r>
        <w:t xml:space="preserve">服务中断类故障：优先重启应用服务，恢复系统可用性。</w:t>
      </w:r>
    </w:p>
    <w:p>
      <w:pPr>
        <w:numPr>
          <w:ilvl w:val="1"/>
          <w:numId w:val="1043"/>
        </w:numPr>
        <w:pStyle w:val="Compact"/>
      </w:pPr>
      <w:r>
        <w:t xml:space="preserve">性能类故障：根据分析结果实施临时优化，如清理缓存、重启服务。</w:t>
      </w:r>
    </w:p>
    <w:p>
      <w:pPr>
        <w:numPr>
          <w:ilvl w:val="1"/>
          <w:numId w:val="1043"/>
        </w:numPr>
        <w:pStyle w:val="Compact"/>
      </w:pPr>
      <w:r>
        <w:t xml:space="preserve">数据类故障：使用备份数据进行恢复，修复数据一致性问题。</w:t>
      </w:r>
    </w:p>
    <w:p>
      <w:pPr>
        <w:numPr>
          <w:ilvl w:val="0"/>
          <w:numId w:val="1040"/>
        </w:numPr>
        <w:pStyle w:val="Compact"/>
      </w:pPr>
      <w:r>
        <w:rPr>
          <w:bCs/>
          <w:b/>
        </w:rPr>
        <w:t xml:space="preserve">事后总结</w:t>
      </w:r>
      <w:r>
        <w:t xml:space="preserve">：</w:t>
      </w:r>
    </w:p>
    <w:p>
      <w:pPr>
        <w:numPr>
          <w:ilvl w:val="1"/>
          <w:numId w:val="1044"/>
        </w:numPr>
        <w:pStyle w:val="Compact"/>
      </w:pPr>
      <w:r>
        <w:t xml:space="preserve">记录故障处理全过程，分析根本原因。</w:t>
      </w:r>
    </w:p>
    <w:p>
      <w:pPr>
        <w:numPr>
          <w:ilvl w:val="1"/>
          <w:numId w:val="1044"/>
        </w:numPr>
        <w:pStyle w:val="Compact"/>
      </w:pPr>
      <w:r>
        <w:t xml:space="preserve">更新运维手册与应急预案，防止同类故障再次发生。</w:t>
      </w:r>
    </w:p>
    <w:bookmarkEnd w:id="215"/>
    <w:bookmarkEnd w:id="216"/>
    <w:bookmarkEnd w:id="217"/>
    <w:bookmarkStart w:id="221" w:name="八接口规范"/>
    <w:p>
      <w:pPr>
        <w:pStyle w:val="20"/>
      </w:pPr>
      <w:r>
        <w:t xml:space="preserve">八、接口规范</w:t>
      </w:r>
    </w:p>
    <w:bookmarkStart w:id="218" w:name="接口协议与格式"/>
    <w:p>
      <w:pPr>
        <w:pStyle w:val="3"/>
      </w:pPr>
      <w:r>
        <w:t xml:space="preserve">8.1 接口协议与格式</w:t>
      </w:r>
    </w:p>
    <w:p>
      <w:pPr>
        <w:pStyle w:val="FirstParagraph"/>
      </w:pPr>
      <w:r>
        <w:t xml:space="preserve">本系统采用基于 HTTP/HTTPS 协议的 RESTful API 架构风格，以实现前后端之间的高效、标准化数据交互。所有接口均通过 HTTPS 协议进行加密传输，确保数据在通信过程中的机密性与完整性。</w:t>
      </w:r>
    </w:p>
    <w:p>
      <w:pPr>
        <w:pStyle w:val="a0"/>
      </w:pPr>
      <w:r>
        <w:t xml:space="preserve">在数据传输格式上，系统统一采用 JSON（JavaScript Object Notation）作为数据交换格式。JSON 格式具有结构清晰、轻量级、易于人机读写和程序解析生成等特点。其结构以键值对（key-value）为基础，支持嵌套对象和数组，能够灵活地表示复杂的数据结构，非常适用于本系统中客户档案、分析报告等多样化数据的传输场景。请求头（Header）中需明确指定</w:t>
      </w:r>
      <w:r>
        <w:t xml:space="preserve"> </w:t>
      </w:r>
      <w:r>
        <w:rPr>
          <w:rStyle w:val="VerbatimChar"/>
        </w:rPr>
        <w:t xml:space="preserve">Content-Type: application/json</w:t>
      </w:r>
      <w:r>
        <w:t xml:space="preserve"> </w:t>
      </w:r>
      <w:r>
        <w:t xml:space="preserve">以声明请求体格式，响应头中同样包含</w:t>
      </w:r>
      <w:r>
        <w:t xml:space="preserve"> </w:t>
      </w:r>
      <w:r>
        <w:rPr>
          <w:rStyle w:val="VerbatimChar"/>
        </w:rPr>
        <w:t xml:space="preserve">Content-Type: application/json</w:t>
      </w:r>
      <w:r>
        <w:t xml:space="preserve"> </w:t>
      </w:r>
      <w:r>
        <w:t xml:space="preserve">指明返回数据格式。</w:t>
      </w:r>
    </w:p>
    <w:bookmarkEnd w:id="218"/>
    <w:bookmarkStart w:id="219" w:name="通用请求与响应结构"/>
    <w:p>
      <w:pPr>
        <w:pStyle w:val="3"/>
      </w:pPr>
      <w:r>
        <w:t xml:space="preserve">8.2 通用请求与响应结构</w:t>
      </w:r>
    </w:p>
    <w:p>
      <w:pPr>
        <w:pStyle w:val="FirstParagraph"/>
      </w:pPr>
      <w:r>
        <w:t xml:space="preserve">为保障接口交互的一致性，系统定义了通用的请求与响应结构。</w:t>
      </w:r>
    </w:p>
    <w:p>
      <w:pPr>
        <w:pStyle w:val="a0"/>
      </w:pPr>
      <w:r>
        <w:rPr>
          <w:bCs/>
          <w:b/>
        </w:rPr>
        <w:t xml:space="preserve">通用请求结构</w:t>
      </w:r>
      <w:r>
        <w:t xml:space="preserve">：</w:t>
      </w:r>
      <w:r>
        <w:t xml:space="preserve"> </w:t>
      </w:r>
      <w:r>
        <w:t xml:space="preserve">对于非查询类操作（如新增、修改），客户端发送的请求体应为 JSON 对象，包含操作所需的具体业务数据。</w:t>
      </w:r>
    </w:p>
    <w:p>
      <w:pPr>
        <w:pStyle w:val="a0"/>
      </w:pPr>
      <w:r>
        <w:rPr>
          <w:bCs/>
          <w:b/>
        </w:rPr>
        <w:t xml:space="preserve">通用响应结构</w:t>
      </w:r>
      <w:r>
        <w:t xml:space="preserve">：</w:t>
      </w:r>
      <w:r>
        <w:t xml:space="preserve"> </w:t>
      </w:r>
      <w:r>
        <w:t xml:space="preserve">所有接口的响应均遵循统一的 JSON 格式，包含状态码、提示信息以及业务数据。具体结构如下：</w:t>
      </w:r>
    </w:p>
    <w:p>
      <w:pPr>
        <w:pStyle w:val="SourceCode0"/>
      </w:pPr>
      <w:r>
        <w:rPr>
          <w:rStyle w:val="FunctionTok"/>
        </w:rPr>
        <w:t xml:space="preserve">{</w:t>
      </w:r>
      <w:r>
        <w:br/>
      </w:r>
      <w:r>
        <w:rPr>
          <w:rStyle w:val="NormalTok"/>
        </w:rPr>
        <w:t xml:space="preserve">  </w:t>
      </w:r>
      <w:r>
        <w:rPr>
          <w:rStyle w:val="DataTypeTok"/>
        </w:rPr>
        <w:t xml:space="preserve">"code"</w:t>
      </w:r>
      <w:r>
        <w:rPr>
          <w:rStyle w:val="FunctionTok"/>
        </w:rPr>
        <w:t xml:space="preserve">:</w:t>
      </w:r>
      <w:r>
        <w:rPr>
          <w:rStyle w:val="NormalTok"/>
        </w:rPr>
        <w:t xml:space="preserve"> </w:t>
      </w:r>
      <w:r>
        <w:rPr>
          <w:rStyle w:val="DecValTok"/>
        </w:rPr>
        <w:t xml:space="preserve">200</w:t>
      </w:r>
      <w:r>
        <w:rPr>
          <w:rStyle w:val="FunctionTok"/>
        </w:rPr>
        <w:t xml:space="preserve">,</w:t>
      </w:r>
      <w:r>
        <w:br/>
      </w:r>
      <w:r>
        <w:rPr>
          <w:rStyle w:val="NormalTok"/>
        </w:rPr>
        <w:t xml:space="preserve">  </w:t>
      </w:r>
      <w:r>
        <w:rPr>
          <w:rStyle w:val="DataTypeTok"/>
        </w:rPr>
        <w:t xml:space="preserve">"message"</w:t>
      </w:r>
      <w:r>
        <w:rPr>
          <w:rStyle w:val="FunctionTok"/>
        </w:rPr>
        <w:t xml:space="preserve">:</w:t>
      </w:r>
      <w:r>
        <w:rPr>
          <w:rStyle w:val="NormalTok"/>
        </w:rPr>
        <w:t xml:space="preserve"> </w:t>
      </w:r>
      <w:r>
        <w:rPr>
          <w:rStyle w:val="StringTok"/>
        </w:rPr>
        <w:t xml:space="preserve">"操作成功"</w:t>
      </w:r>
      <w:r>
        <w:rPr>
          <w:rStyle w:val="FunctionTok"/>
        </w:rPr>
        <w:t xml:space="preserve">,</w:t>
      </w:r>
      <w:r>
        <w:br/>
      </w:r>
      <w:r>
        <w:rPr>
          <w:rStyle w:val="NormalTok"/>
        </w:rPr>
        <w:t xml:space="preserve">  </w:t>
      </w:r>
      <w:r>
        <w:rPr>
          <w:rStyle w:val="DataTypeTok"/>
        </w:rPr>
        <w:t xml:space="preserve">"data"</w:t>
      </w:r>
      <w:r>
        <w:rPr>
          <w:rStyle w:val="FunctionTok"/>
        </w:rPr>
        <w:t xml:space="preserve">:</w:t>
      </w:r>
      <w:r>
        <w:rPr>
          <w:rStyle w:val="NormalTok"/>
        </w:rPr>
        <w:t xml:space="preserve"> </w:t>
      </w:r>
      <w:r>
        <w:rPr>
          <w:rStyle w:val="FunctionTok"/>
        </w:rPr>
        <w:t xml:space="preserve">{</w:t>
      </w:r>
      <w:r>
        <w:br/>
      </w:r>
      <w:r>
        <w:rPr>
          <w:rStyle w:val="NormalTok"/>
        </w:rPr>
        <w:t xml:space="preserve">    </w:t>
      </w:r>
      <w:r>
        <w:rPr>
          <w:rStyle w:val="ErrorTok"/>
        </w:rPr>
        <w:t xml:space="preserve">//</w:t>
      </w:r>
      <w:r>
        <w:rPr>
          <w:rStyle w:val="NormalTok"/>
        </w:rPr>
        <w:t xml:space="preserve"> </w:t>
      </w:r>
      <w:r>
        <w:rPr>
          <w:rStyle w:val="ErrorTok"/>
        </w:rPr>
        <w:t xml:space="preserve">具体的业务数据，其结构因接口而异</w:t>
      </w:r>
      <w:r>
        <w:br/>
      </w:r>
      <w:r>
        <w:rPr>
          <w:rStyle w:val="NormalTok"/>
        </w:rPr>
        <w:t xml:space="preserve">  </w:t>
      </w:r>
      <w:r>
        <w:rPr>
          <w:rStyle w:val="FunctionTok"/>
        </w:rPr>
        <w:t xml:space="preserve">},</w:t>
      </w:r>
      <w:r>
        <w:br/>
      </w:r>
      <w:r>
        <w:rPr>
          <w:rStyle w:val="NormalTok"/>
        </w:rPr>
        <w:t xml:space="preserve">  </w:t>
      </w:r>
      <w:r>
        <w:rPr>
          <w:rStyle w:val="DataTypeTok"/>
        </w:rPr>
        <w:t xml:space="preserve">"timestamp"</w:t>
      </w:r>
      <w:r>
        <w:rPr>
          <w:rStyle w:val="FunctionTok"/>
        </w:rPr>
        <w:t xml:space="preserve">:</w:t>
      </w:r>
      <w:r>
        <w:rPr>
          <w:rStyle w:val="NormalTok"/>
        </w:rPr>
        <w:t xml:space="preserve"> </w:t>
      </w:r>
      <w:r>
        <w:rPr>
          <w:rStyle w:val="StringTok"/>
        </w:rPr>
        <w:t xml:space="preserve">"2025-08-27 10:30:00"</w:t>
      </w:r>
      <w:r>
        <w:br/>
      </w:r>
      <w:r>
        <w:rPr>
          <w:rStyle w:val="FunctionTok"/>
        </w:rPr>
        <w:t xml:space="preserve">}</w:t>
      </w:r>
    </w:p>
    <w:p>
      <w:pPr>
        <w:numPr>
          <w:ilvl w:val="0"/>
          <w:numId w:val="1045"/>
        </w:numPr>
        <w:pStyle w:val="Compact"/>
      </w:pPr>
      <w:r>
        <w:rPr>
          <w:rStyle w:val="VerbatimChar"/>
        </w:rPr>
        <w:t xml:space="preserve">code</w:t>
      </w:r>
      <w:r>
        <w:t xml:space="preserve">: 整数类型，表示请求处理的状态码。例如，200 代表成功，400 代表客户端请求错误，500 代表服务器内部错误。</w:t>
      </w:r>
    </w:p>
    <w:p>
      <w:pPr>
        <w:numPr>
          <w:ilvl w:val="0"/>
          <w:numId w:val="1045"/>
        </w:numPr>
        <w:pStyle w:val="Compact"/>
      </w:pPr>
      <w:r>
        <w:rPr>
          <w:rStyle w:val="VerbatimChar"/>
        </w:rPr>
        <w:t xml:space="preserve">message</w:t>
      </w:r>
      <w:r>
        <w:t xml:space="preserve">: 字符串类型，对状态码的简要文字说明。</w:t>
      </w:r>
    </w:p>
    <w:p>
      <w:pPr>
        <w:numPr>
          <w:ilvl w:val="0"/>
          <w:numId w:val="1045"/>
        </w:numPr>
        <w:pStyle w:val="Compact"/>
      </w:pPr>
      <w:r>
        <w:rPr>
          <w:rStyle w:val="VerbatimChar"/>
        </w:rPr>
        <w:t xml:space="preserve">data</w:t>
      </w:r>
      <w:r>
        <w:t xml:space="preserve">: 对象类型，可选字段。当请求成功时，此字段包含接口返回的具体业务数据；无数据返回时，此字段可为</w:t>
      </w:r>
      <w:r>
        <w:t xml:space="preserve"> </w:t>
      </w:r>
      <w:r>
        <w:rPr>
          <w:rStyle w:val="VerbatimChar"/>
        </w:rPr>
        <w:t xml:space="preserve">null</w:t>
      </w:r>
      <w:r>
        <w:t xml:space="preserve"> </w:t>
      </w:r>
      <w:r>
        <w:t xml:space="preserve">或空对象</w:t>
      </w:r>
      <w:r>
        <w:t xml:space="preserve"> </w:t>
      </w:r>
      <w:r>
        <w:rPr>
          <w:rStyle w:val="VerbatimChar"/>
        </w:rPr>
        <w:t xml:space="preserve">{}</w:t>
      </w:r>
      <w:r>
        <w:t xml:space="preserve">。</w:t>
      </w:r>
    </w:p>
    <w:p>
      <w:pPr>
        <w:numPr>
          <w:ilvl w:val="0"/>
          <w:numId w:val="1045"/>
        </w:numPr>
        <w:pStyle w:val="Compact"/>
      </w:pPr>
      <w:r>
        <w:rPr>
          <w:rStyle w:val="VerbatimChar"/>
        </w:rPr>
        <w:t xml:space="preserve">timestamp</w:t>
      </w:r>
      <w:r>
        <w:t xml:space="preserve">: 字符串类型，服务器生成响应的时间戳。</w:t>
      </w:r>
    </w:p>
    <w:bookmarkEnd w:id="219"/>
    <w:bookmarkStart w:id="220" w:name="关键接口示例"/>
    <w:p>
      <w:pPr>
        <w:pStyle w:val="3"/>
      </w:pPr>
      <w:r>
        <w:t xml:space="preserve">8.3 关键接口示例</w:t>
      </w:r>
    </w:p>
    <w:p>
      <w:pPr>
        <w:pStyle w:val="FirstParagraph"/>
      </w:pPr>
      <w:r>
        <w:t xml:space="preserve">以下以“客户价值分析”和“客户列表查询”两个核心接口为例，展示具体的请求与响应格式。</w:t>
      </w:r>
    </w:p>
    <w:p>
      <w:pPr>
        <w:pStyle w:val="a0"/>
      </w:pPr>
      <w:r>
        <w:rPr>
          <w:bCs/>
          <w:b/>
        </w:rPr>
        <w:t xml:space="preserve">8.3.1 客户价值分析接口</w:t>
      </w:r>
    </w:p>
    <w:p>
      <w:pPr>
        <w:pStyle w:val="a0"/>
      </w:pPr>
      <w:r>
        <w:t xml:space="preserve">此接口用于提交客户数据并获取系统量化分析模型计算出的价值评估结果。</w:t>
      </w:r>
    </w:p>
    <w:p>
      <w:pPr>
        <w:numPr>
          <w:ilvl w:val="0"/>
          <w:numId w:val="1046"/>
        </w:numPr>
        <w:pStyle w:val="Compact"/>
      </w:pPr>
      <w:r>
        <w:rPr>
          <w:bCs/>
          <w:b/>
        </w:rPr>
        <w:t xml:space="preserve">接口路径</w:t>
      </w:r>
      <w:r>
        <w:t xml:space="preserve">:</w:t>
      </w:r>
      <w:r>
        <w:t xml:space="preserve"> </w:t>
      </w:r>
      <w:r>
        <w:rPr>
          <w:rStyle w:val="VerbatimChar"/>
        </w:rPr>
        <w:t xml:space="preserve">POST /api/v1/quantitative-analysis/customer-value</w:t>
      </w:r>
    </w:p>
    <w:p>
      <w:pPr>
        <w:numPr>
          <w:ilvl w:val="0"/>
          <w:numId w:val="1046"/>
        </w:numPr>
        <w:pStyle w:val="Compact"/>
      </w:pPr>
      <w:r>
        <w:rPr>
          <w:bCs/>
          <w:b/>
        </w:rPr>
        <w:t xml:space="preserve">请求示例</w:t>
      </w:r>
      <w:r>
        <w:t xml:space="preserve">:</w:t>
      </w:r>
      <w:r>
        <w:t xml:space="preserve"> </w:t>
      </w:r>
      <w:r>
        <w:rPr>
          <w:rStyle w:val="VerbatimChar"/>
        </w:rPr>
        <w:t xml:space="preserve">json     {       "customerId": "CUST20250001",       "analysisDimension": ["financial_health", "cooperation_potential", "industry_position"],       "period": "LAST_12_MONTHS"     }</w:t>
      </w:r>
    </w:p>
    <w:p>
      <w:pPr>
        <w:numPr>
          <w:ilvl w:val="1"/>
          <w:numId w:val="1047"/>
        </w:numPr>
        <w:pStyle w:val="Compact"/>
      </w:pPr>
      <w:r>
        <w:rPr>
          <w:rStyle w:val="VerbatimChar"/>
        </w:rPr>
        <w:t xml:space="preserve">customerId</w:t>
      </w:r>
      <w:r>
        <w:t xml:space="preserve">: 字符串，唯一标识客户ID。</w:t>
      </w:r>
    </w:p>
    <w:p>
      <w:pPr>
        <w:numPr>
          <w:ilvl w:val="1"/>
          <w:numId w:val="1047"/>
        </w:numPr>
        <w:pStyle w:val="Compact"/>
      </w:pPr>
      <w:r>
        <w:rPr>
          <w:rStyle w:val="VerbatimChar"/>
        </w:rPr>
        <w:t xml:space="preserve">analysisDimension</w:t>
      </w:r>
      <w:r>
        <w:t xml:space="preserve">: 字符串数组，指定分析的维度。</w:t>
      </w:r>
    </w:p>
    <w:p>
      <w:pPr>
        <w:numPr>
          <w:ilvl w:val="1"/>
          <w:numId w:val="1047"/>
        </w:numPr>
        <w:pStyle w:val="Compact"/>
      </w:pPr>
      <w:r>
        <w:rPr>
          <w:rStyle w:val="VerbatimChar"/>
        </w:rPr>
        <w:t xml:space="preserve">period</w:t>
      </w:r>
      <w:r>
        <w:t xml:space="preserve">: 字符串，分析所依据的数据时间范围。</w:t>
      </w:r>
    </w:p>
    <w:p>
      <w:pPr>
        <w:numPr>
          <w:ilvl w:val="0"/>
          <w:numId w:val="1046"/>
        </w:numPr>
        <w:pStyle w:val="Compact"/>
      </w:pPr>
      <w:r>
        <w:rPr>
          <w:bCs/>
          <w:b/>
        </w:rPr>
        <w:t xml:space="preserve">响应示例</w:t>
      </w:r>
      <w:r>
        <w:t xml:space="preserve">:</w:t>
      </w:r>
      <w:r>
        <w:t xml:space="preserve"> </w:t>
      </w:r>
      <w:r>
        <w:rPr>
          <w:rStyle w:val="VerbatimChar"/>
        </w:rPr>
        <w:t xml:space="preserve">json     {       "code": 200,       "message": "分析完成",       "data": {         "customerId": "CUST20250001",         "valueScore": 88.5,         "valueLevel": "A",         "reportId": "REP_V_20250827001",         "keyFactors": [           {"factor": "营收增长率", "impact": "高"},           {"factor": "合作稳定性", "impact": "中"}         ]       },       "timestamp": "2025-08-27 10:35:22"     }</w:t>
      </w:r>
    </w:p>
    <w:p>
      <w:pPr>
        <w:numPr>
          <w:ilvl w:val="1"/>
          <w:numId w:val="1048"/>
        </w:numPr>
        <w:pStyle w:val="Compact"/>
      </w:pPr>
      <w:r>
        <w:rPr>
          <w:rStyle w:val="VerbatimChar"/>
        </w:rPr>
        <w:t xml:space="preserve">valueScore</w:t>
      </w:r>
      <w:r>
        <w:t xml:space="preserve">: 数值，客户价值综合评分。</w:t>
      </w:r>
    </w:p>
    <w:p>
      <w:pPr>
        <w:numPr>
          <w:ilvl w:val="1"/>
          <w:numId w:val="1048"/>
        </w:numPr>
        <w:pStyle w:val="Compact"/>
      </w:pPr>
      <w:r>
        <w:rPr>
          <w:rStyle w:val="VerbatimChar"/>
        </w:rPr>
        <w:t xml:space="preserve">valueLevel</w:t>
      </w:r>
      <w:r>
        <w:t xml:space="preserve">: 字符串，价值等级（如A, B, C）。</w:t>
      </w:r>
    </w:p>
    <w:p>
      <w:pPr>
        <w:numPr>
          <w:ilvl w:val="1"/>
          <w:numId w:val="1048"/>
        </w:numPr>
        <w:pStyle w:val="Compact"/>
      </w:pPr>
      <w:r>
        <w:rPr>
          <w:rStyle w:val="VerbatimChar"/>
        </w:rPr>
        <w:t xml:space="preserve">reportId</w:t>
      </w:r>
      <w:r>
        <w:t xml:space="preserve">: 字符串，生成的分析报告ID，可用于获取详细报告。</w:t>
      </w:r>
    </w:p>
    <w:p>
      <w:pPr>
        <w:numPr>
          <w:ilvl w:val="1"/>
          <w:numId w:val="1048"/>
        </w:numPr>
        <w:pStyle w:val="Compact"/>
      </w:pPr>
      <w:r>
        <w:rPr>
          <w:rStyle w:val="VerbatimChar"/>
        </w:rPr>
        <w:t xml:space="preserve">keyFactors</w:t>
      </w:r>
      <w:r>
        <w:t xml:space="preserve">: 对象数组，影响价值评分的关键因素列表。</w:t>
      </w:r>
    </w:p>
    <w:p>
      <w:pPr>
        <w:pStyle w:val="FirstParagraph"/>
      </w:pPr>
      <w:r>
        <w:rPr>
          <w:bCs/>
          <w:b/>
        </w:rPr>
        <w:t xml:space="preserve">8.3.2 客户列表查询接口</w:t>
      </w:r>
    </w:p>
    <w:p>
      <w:pPr>
        <w:pStyle w:val="a0"/>
      </w:pPr>
      <w:r>
        <w:t xml:space="preserve">此接口支持分页、条件过滤查询客户基本信息列表。</w:t>
      </w:r>
    </w:p>
    <w:p>
      <w:pPr>
        <w:numPr>
          <w:ilvl w:val="0"/>
          <w:numId w:val="1049"/>
        </w:numPr>
        <w:pStyle w:val="Compact"/>
      </w:pPr>
      <w:r>
        <w:rPr>
          <w:bCs/>
          <w:b/>
        </w:rPr>
        <w:t xml:space="preserve">接口路径</w:t>
      </w:r>
      <w:r>
        <w:t xml:space="preserve">:</w:t>
      </w:r>
      <w:r>
        <w:t xml:space="preserve"> </w:t>
      </w:r>
      <w:r>
        <w:rPr>
          <w:rStyle w:val="VerbatimChar"/>
        </w:rPr>
        <w:t xml:space="preserve">GET /api/v1/customer-management/customers</w:t>
      </w:r>
    </w:p>
    <w:p>
      <w:pPr>
        <w:numPr>
          <w:ilvl w:val="0"/>
          <w:numId w:val="1049"/>
        </w:numPr>
        <w:pStyle w:val="Compact"/>
      </w:pPr>
      <w:r>
        <w:rPr>
          <w:bCs/>
          <w:b/>
        </w:rPr>
        <w:t xml:space="preserve">请求示例 (Query Parameters)</w:t>
      </w:r>
      <w:r>
        <w:t xml:space="preserve">:</w:t>
      </w:r>
      <w:r>
        <w:t xml:space="preserve"> </w:t>
      </w:r>
      <w:r>
        <w:rPr>
          <w:rStyle w:val="VerbatimChar"/>
        </w:rPr>
        <w:t xml:space="preserve">page=1&amp;size=20&amp;customerName=科技&amp;industry=IT</w:t>
      </w:r>
    </w:p>
    <w:p>
      <w:pPr>
        <w:numPr>
          <w:ilvl w:val="1"/>
          <w:numId w:val="1050"/>
        </w:numPr>
        <w:pStyle w:val="Compact"/>
      </w:pPr>
      <w:r>
        <w:rPr>
          <w:rStyle w:val="VerbatimChar"/>
        </w:rPr>
        <w:t xml:space="preserve">page</w:t>
      </w:r>
      <w:r>
        <w:t xml:space="preserve">: 整数，请求的页码。</w:t>
      </w:r>
    </w:p>
    <w:p>
      <w:pPr>
        <w:numPr>
          <w:ilvl w:val="1"/>
          <w:numId w:val="1050"/>
        </w:numPr>
        <w:pStyle w:val="Compact"/>
      </w:pPr>
      <w:r>
        <w:rPr>
          <w:rStyle w:val="VerbatimChar"/>
        </w:rPr>
        <w:t xml:space="preserve">size</w:t>
      </w:r>
      <w:r>
        <w:t xml:space="preserve">: 整数，每页记录数。</w:t>
      </w:r>
    </w:p>
    <w:p>
      <w:pPr>
        <w:numPr>
          <w:ilvl w:val="1"/>
          <w:numId w:val="1050"/>
        </w:numPr>
        <w:pStyle w:val="Compact"/>
      </w:pPr>
      <w:r>
        <w:rPr>
          <w:rStyle w:val="VerbatimChar"/>
        </w:rPr>
        <w:t xml:space="preserve">customerName</w:t>
      </w:r>
      <w:r>
        <w:t xml:space="preserve">: 字符串，客户名称模糊查询。</w:t>
      </w:r>
    </w:p>
    <w:p>
      <w:pPr>
        <w:numPr>
          <w:ilvl w:val="1"/>
          <w:numId w:val="1050"/>
        </w:numPr>
        <w:pStyle w:val="Compact"/>
      </w:pPr>
      <w:r>
        <w:rPr>
          <w:rStyle w:val="VerbatimChar"/>
        </w:rPr>
        <w:t xml:space="preserve">industry</w:t>
      </w:r>
      <w:r>
        <w:t xml:space="preserve">: 字符串，所属行业精确查询。</w:t>
      </w:r>
    </w:p>
    <w:p>
      <w:pPr>
        <w:numPr>
          <w:ilvl w:val="0"/>
          <w:numId w:val="1049"/>
        </w:numPr>
        <w:pStyle w:val="Compact"/>
      </w:pPr>
      <w:r>
        <w:rPr>
          <w:bCs/>
          <w:b/>
        </w:rPr>
        <w:t xml:space="preserve">响应示例</w:t>
      </w:r>
      <w:r>
        <w:t xml:space="preserve">:</w:t>
      </w:r>
      <w:r>
        <w:t xml:space="preserve"> </w:t>
      </w:r>
      <w:r>
        <w:rPr>
          <w:rStyle w:val="VerbatimChar"/>
        </w:rPr>
        <w:t xml:space="preserve">json     {       "code": 200,       "message": "查询成功",       "data": {         "list": [           {             "id": "CUST20250001",             "name": "某某科技有限公司",             "industry": "IT",             "contactPerson": "张经理",             "contactPhone": "13800138000",             "valueLevel": "A",             "lastContactTime": "2025-08-26"           }         ],         "pagination": {           "currentPage": 1,           "pageSize": 20,           "totalCount": 150,           "totalPages": 8         }       },       "timestamp": "2025-08-27 10:40:15"     }</w:t>
      </w:r>
    </w:p>
    <w:p>
      <w:pPr>
        <w:numPr>
          <w:ilvl w:val="1"/>
          <w:numId w:val="1051"/>
        </w:numPr>
        <w:pStyle w:val="Compact"/>
      </w:pPr>
      <w:r>
        <w:rPr>
          <w:rStyle w:val="VerbatimChar"/>
        </w:rPr>
        <w:t xml:space="preserve">list</w:t>
      </w:r>
      <w:r>
        <w:t xml:space="preserve">: 对象数组，当前页的客户数据列表。</w:t>
      </w:r>
    </w:p>
    <w:p>
      <w:pPr>
        <w:numPr>
          <w:ilvl w:val="1"/>
          <w:numId w:val="1051"/>
        </w:numPr>
        <w:pStyle w:val="Compact"/>
      </w:pPr>
      <w:r>
        <w:rPr>
          <w:rStyle w:val="VerbatimChar"/>
        </w:rPr>
        <w:t xml:space="preserve">pagination</w:t>
      </w:r>
      <w:r>
        <w:t xml:space="preserve">: 对象，分页信息，包含当前页码、页大小、总记录数和总页数。</w:t>
      </w:r>
    </w:p>
    <w:bookmarkEnd w:id="220"/>
    <w:bookmarkEnd w:id="221"/>
    <w:bookmarkStart w:id="225" w:name="九安全与合规"/>
    <w:p>
      <w:pPr>
        <w:pStyle w:val="20"/>
      </w:pPr>
      <w:r>
        <w:t xml:space="preserve">九、安全与合规</w:t>
      </w:r>
    </w:p>
    <w:bookmarkStart w:id="222" w:name="访问控制策略"/>
    <w:p>
      <w:pPr>
        <w:pStyle w:val="3"/>
      </w:pPr>
      <w:r>
        <w:t xml:space="preserve">9.1 访问控制策略</w:t>
      </w:r>
    </w:p>
    <w:p>
      <w:pPr>
        <w:pStyle w:val="FirstParagraph"/>
      </w:pPr>
      <w:r>
        <w:t xml:space="preserve">为确保系统资源仅被授权用户访问，本系统实施基于角色的精细化访问控制策略。该策略通过用户与角色、角色与权限的关联映射，实现权限的集中管理和动态分配。</w:t>
      </w:r>
    </w:p>
    <w:p>
      <w:pPr>
        <w:pStyle w:val="a0"/>
      </w:pPr>
      <w:r>
        <w:t xml:space="preserve">系统预设多种核心角色，包括系统管理员、部门经理、咨询顾问及只读访客等。管理员拥有系统全局配置与用户管理权限；部门经理可管辖本部门全部客户数据与分析报告；咨询顾问仅能操作其负责的客户档案与服务流程；访客则仅限于查看公开统计信息。</w:t>
      </w:r>
    </w:p>
    <w:p>
      <w:pPr>
        <w:pStyle w:val="a0"/>
      </w:pPr>
      <w:r>
        <w:t xml:space="preserve">权限管理模块支持对角色的数据访问范围与操作权限进行灵活配置，可精确至具体功能模块与数据字段。权限分配遵循最小权限原则，确保用户仅能访问其职责所必需的系统资源，有效防止越权操作。</w:t>
      </w:r>
    </w:p>
    <w:bookmarkEnd w:id="222"/>
    <w:bookmarkStart w:id="223" w:name="敏感数据加密方式"/>
    <w:p>
      <w:pPr>
        <w:pStyle w:val="3"/>
      </w:pPr>
      <w:r>
        <w:t xml:space="preserve">9.2 敏感数据加密方式</w:t>
      </w:r>
    </w:p>
    <w:p>
      <w:pPr>
        <w:pStyle w:val="FirstParagraph"/>
      </w:pPr>
      <w:r>
        <w:t xml:space="preserve">系统对存储与传输过程中的敏感数据实施高强度加密保护。所有客户个人信息、咨询记录、量化分析结果及系统认证凭证均被列为关键敏感数据。</w:t>
      </w:r>
    </w:p>
    <w:p>
      <w:pPr>
        <w:pStyle w:val="a0"/>
      </w:pPr>
      <w:r>
        <w:t xml:space="preserve">在数据传输层面，系统全程采用TLS 1.3协议进行加密传输，确保数据在网络传输过程中不被窃取或篡改。数据存储环节，对客户身份证号、联系方式等个人身份信息应用AES-256-GCM算法进行字段级加密，密钥由专用密钥管理系统统一管理。</w:t>
      </w:r>
    </w:p>
    <w:p>
      <w:pPr>
        <w:pStyle w:val="a0"/>
      </w:pPr>
      <w:r>
        <w:t xml:space="preserve">用户密码均通过bcrypt算法加盐处理后再存储，有效防范彩虹表攻击。数据库连接字符串与API密钥等系统配置敏感信息，均使用环境变量与密钥管理服务进行安全存储，杜绝硬编码风险。</w:t>
      </w:r>
    </w:p>
    <w:bookmarkEnd w:id="223"/>
    <w:bookmarkStart w:id="224" w:name="审计日志保留策略"/>
    <w:p>
      <w:pPr>
        <w:pStyle w:val="3"/>
      </w:pPr>
      <w:r>
        <w:t xml:space="preserve">9.3 审计日志保留策略</w:t>
      </w:r>
    </w:p>
    <w:p>
      <w:pPr>
        <w:pStyle w:val="FirstParagraph"/>
      </w:pPr>
      <w:r>
        <w:t xml:space="preserve">系统建立了完善的审计日志机制，全面记录用户操作行为与系统安全事件。审计日志涵盖登录认证、数据访问、业务操作等关键活动，确保所有操作可追溯。</w:t>
      </w:r>
    </w:p>
    <w:p>
      <w:pPr>
        <w:pStyle w:val="a0"/>
      </w:pPr>
      <w:r>
        <w:t xml:space="preserve">日志记录内容包括操作时间戳、操作用户身份、操作类型、访问的模块或数据、操作结果状态、源IP地址等关键信息。系统通过安全日志模块集中收集与存储这些日志数据。</w:t>
      </w:r>
    </w:p>
    <w:p>
      <w:pPr>
        <w:pStyle w:val="a0"/>
      </w:pPr>
      <w:r>
        <w:t xml:space="preserve">所有审计日志采用防篡改技术存储于独立的日志数据库中，与业务数据物理隔离。系统设定日志保留期限为3年，并建立定期备份机制，每周执行全量备份，每日进行增量备份，备份数据异地存储，以满足合规性审查与安全调查需求。</w:t>
      </w:r>
    </w:p>
    <w:bookmarkEnd w:id="224"/>
    <w:bookmarkEnd w:id="225"/>
    <w:bookmarkEnd w:id="226"/>
    <w:sectPr w:rsidR="002644E9" w:rsidSect="002644E9">
      <w:headerReference r:id="rId10" w:type="even"/>
      <w:headerReference r:id="rId9" w:type="default"/>
      <w:footerReference r:id="rId14" w:type="even"/>
      <w:footerReference r:id="rId13" w:type="default"/>
      <w:headerReference r:id="rId11" w:type="first"/>
      <w:footerReference r:id="rId12" w:type="first"/>
      <w:pgSz w:code="9" w:h="16838" w:w="11906"/>
      <w:pgMar w:bottom="1440" w:footer="720" w:gutter="0" w:header="720" w:left="1797" w:right="1797" w:top="1440"/>
      <w:cols w:space="720"/>
      <w:vAlign w:val="center"/>
      <w:docGrid w:linePitch="326"/>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微软雅黑">
    <w:altName w:val="Microsoft YaHei"/>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Fira Code">
    <w:panose1 w:val="020B0809050000020004"/>
    <w:charset w:val="00"/>
    <w:family w:val="modern"/>
    <w:pitch w:val="fixed"/>
    <w:sig w:usb0="E00002EF" w:usb1="1200F8FB" w:usb2="00000008" w:usb3="00000000" w:csb0="0000009F" w:csb1="00000000"/>
  </w:font>
  <w:font w:name="Times New Roman (正文 CS 字体)">
    <w:altName w:val="宋体"/>
    <w:panose1 w:val="020B0604020202020204"/>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4"/>
      </w:rPr>
      <w:id w:val="-92854393"/>
      <w:docPartObj>
        <w:docPartGallery w:val="Page Numbers (Bottom of Page)"/>
        <w:docPartUnique/>
      </w:docPartObj>
    </w:sdtPr>
    <w:sdtContent>
      <w:p w14:paraId="6B43ACD3" w14:textId="19B62F2C" w:rsidR="007D19F5" w:rsidRDefault="007D19F5" w:rsidP="007421B3">
        <w:pPr>
          <w:pStyle w:val="af1"/>
          <w:framePr w:wrap="none" w:vAnchor="text" w:hAnchor="margin" w:xAlign="center" w:y="1"/>
          <w:rPr>
            <w:rStyle w:val="af4"/>
          </w:rPr>
        </w:pPr>
        <w:r>
          <w:rPr>
            <w:rStyle w:val="af4"/>
          </w:rPr>
          <w:fldChar w:fldCharType="begin"/>
        </w:r>
        <w:r>
          <w:rPr>
            <w:rStyle w:val="af4"/>
          </w:rPr>
          <w:instrText xml:space="preserve"> PAGE </w:instrText>
        </w:r>
        <w:r>
          <w:rPr>
            <w:rStyle w:val="af4"/>
          </w:rPr>
          <w:fldChar w:fldCharType="end"/>
        </w:r>
      </w:p>
    </w:sdtContent>
  </w:sdt>
  <w:p w14:paraId="0AF234B1" w14:textId="77777777" w:rsidR="007D19F5" w:rsidRDefault="007D19F5">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4F6EF" w14:textId="77777777" w:rsidR="00000000" w:rsidRDefault="00000000">
    <w:r>
      <w:c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923DD" w14:textId="77777777" w:rsidR="00517F86" w:rsidRDefault="00517F86">
    <w:pPr>
      <w:pStyle w:val="af1"/>
    </w:pP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5A720" w14:textId="77777777" w:rsidR="00517F86" w:rsidRDefault="00517F86">
    <w:pPr>
      <w:pStyle w:val="af"/>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39821E" w14:textId="713ABBD8" w:rsidR="00DE462A" w:rsidRDefault="00DE462A">
    <w:pPr>
      <w:pStyle w:val="af"/>
      <w:rPr>
        <w:lang w:eastAsia="zh-CN"/>
      </w:rPr>
    </w:pPr>
    <w:r>
      <w:t>量化咨询客户关系管理系统 V1.0</w:t>
    </w:r>
    <w:r>
      <w:tab/>
      <w:tab/>
    </w:r>
    <w:r>
      <w:fldChar w:fldCharType="begin"/>
      <w:instrText>PAGE</w:instrText>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DCCA1" w14:textId="77777777" w:rsidR="00517F86" w:rsidRDefault="00517F86">
    <w:pPr>
      <w:pStyle w:val="af"/>
    </w:pPr>
  </w:p>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F7DE9768"/>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DCB2411E"/>
    <w:lvl w:ilvl="0">
      <w:numFmt w:val="bullet"/>
      <w:lvlText w:val="•"/>
      <w:lvlJc w:val="left"/>
      <w:pPr>
        <w:ind w:hanging="329" w:left="567"/>
      </w:pPr>
      <w:rPr>
        <w:rFonts w:ascii="微软雅黑" w:eastAsia="微软雅黑" w:hAnsi="微软雅黑" w:hint="eastAsia"/>
        <w:sz w:val="28"/>
      </w:rPr>
    </w:lvl>
    <w:lvl w:ilvl="1">
      <w:numFmt w:val="bullet"/>
      <w:lvlText w:val=""/>
      <w:lvlJc w:val="left"/>
      <w:pPr>
        <w:ind w:hanging="329" w:left="1134"/>
      </w:pPr>
      <w:rPr>
        <w:rFonts w:ascii="Wingdings" w:eastAsia="微软雅黑" w:hAnsi="Wingdings" w:hint="default"/>
        <w:sz w:val="28"/>
      </w:rPr>
    </w:lvl>
    <w:lvl w:ilvl="2">
      <w:numFmt w:val="bullet"/>
      <w:lvlText w:val=""/>
      <w:lvlJc w:val="left"/>
      <w:pPr>
        <w:ind w:hanging="329" w:left="1701"/>
      </w:pPr>
      <w:rPr>
        <w:rFonts w:ascii="Wingdings" w:eastAsia="微软雅黑" w:hAnsi="Wingdings" w:hint="default"/>
        <w:sz w:val="28"/>
      </w:rPr>
    </w:lvl>
    <w:lvl w:ilvl="3">
      <w:numFmt w:val="bullet"/>
      <w:lvlText w:val="•"/>
      <w:lvlJc w:val="left"/>
      <w:pPr>
        <w:ind w:hanging="329" w:left="2268"/>
      </w:pPr>
      <w:rPr>
        <w:rFonts w:ascii="微软雅黑" w:eastAsia="微软雅黑" w:hAnsi="微软雅黑" w:hint="eastAsia"/>
        <w:sz w:val="28"/>
      </w:rPr>
    </w:lvl>
    <w:lvl w:ilvl="4">
      <w:numFmt w:val="bullet"/>
      <w:lvlText w:val="•"/>
      <w:lvlJc w:val="left"/>
      <w:pPr>
        <w:ind w:hanging="329" w:left="2835"/>
      </w:pPr>
      <w:rPr>
        <w:rFonts w:ascii="微软雅黑" w:eastAsia="微软雅黑" w:hAnsi="微软雅黑" w:hint="eastAsia"/>
        <w:sz w:val="28"/>
      </w:rPr>
    </w:lvl>
    <w:lvl w:ilvl="5">
      <w:numFmt w:val="bullet"/>
      <w:lvlText w:val="•"/>
      <w:lvlJc w:val="left"/>
      <w:pPr>
        <w:ind w:hanging="329" w:left="3402"/>
      </w:pPr>
      <w:rPr>
        <w:rFonts w:eastAsia="微软雅黑" w:hint="eastAsia"/>
        <w:sz w:val="28"/>
      </w:rPr>
    </w:lvl>
    <w:lvl w:ilvl="6">
      <w:numFmt w:val="bullet"/>
      <w:lvlText w:val="•"/>
      <w:lvlJc w:val="left"/>
      <w:pPr>
        <w:ind w:hanging="329" w:left="3969"/>
      </w:pPr>
      <w:rPr>
        <w:rFonts w:eastAsia="微软雅黑" w:hint="eastAsia"/>
        <w:sz w:val="28"/>
      </w:rPr>
    </w:lvl>
    <w:lvl w:ilvl="7">
      <w:numFmt w:val="bullet"/>
      <w:lvlText w:val="•"/>
      <w:lvlJc w:val="left"/>
      <w:pPr>
        <w:ind w:hanging="329" w:left="4536"/>
      </w:pPr>
      <w:rPr>
        <w:rFonts w:eastAsia="微软雅黑" w:hint="eastAsia"/>
        <w:sz w:val="28"/>
      </w:rPr>
    </w:lvl>
    <w:lvl w:ilvl="8">
      <w:numFmt w:val="bullet"/>
      <w:lvlText w:val="•"/>
      <w:lvlJc w:val="left"/>
      <w:pPr>
        <w:ind w:hanging="329" w:left="5103"/>
      </w:pPr>
      <w:rPr>
        <w:rFonts w:eastAsia="微软雅黑" w:hint="eastAsia"/>
        <w:sz w:val="28"/>
      </w:rPr>
    </w:lvl>
  </w:abstractNum>
  <w:abstractNum w15:restartNumberingAfterBreak="0" w:abstractNumId="2">
    <w:nsid w:val="00A99201"/>
    <w:multiLevelType w:val="multilevel"/>
    <w:tmpl w:val="845E9B8E"/>
    <w:lvl w:ilvl="0">
      <w:start w:val="1"/>
      <w:numFmt w:val="decimal"/>
      <w:lvlText w:val="%1."/>
      <w:lvlJc w:val="left"/>
      <w:pPr>
        <w:ind w:hanging="329" w:left="567"/>
      </w:pPr>
      <w:rPr>
        <w:rFonts w:hint="eastAsia"/>
      </w:rPr>
    </w:lvl>
    <w:lvl w:ilvl="1">
      <w:start w:val="1"/>
      <w:numFmt w:val="decimal"/>
      <w:lvlText w:val="%2)"/>
      <w:lvlJc w:val="left"/>
      <w:pPr>
        <w:ind w:hanging="329" w:left="1134"/>
      </w:pPr>
      <w:rPr>
        <w:rFonts w:hint="eastAsia"/>
      </w:rPr>
    </w:lvl>
    <w:lvl w:ilvl="2">
      <w:start w:val="1"/>
      <w:numFmt w:val="upperLetter"/>
      <w:lvlText w:val="%3."/>
      <w:lvlJc w:val="left"/>
      <w:pPr>
        <w:ind w:hanging="329" w:left="1701"/>
      </w:pPr>
      <w:rPr>
        <w:rFonts w:hint="eastAsia"/>
      </w:rPr>
    </w:lvl>
    <w:lvl w:ilvl="3">
      <w:start w:val="1"/>
      <w:numFmt w:val="lowerLetter"/>
      <w:lvlText w:val="%4."/>
      <w:lvlJc w:val="left"/>
      <w:pPr>
        <w:ind w:hanging="329" w:left="2268"/>
      </w:pPr>
      <w:rPr>
        <w:rFonts w:hint="eastAsia"/>
      </w:rPr>
    </w:lvl>
    <w:lvl w:ilvl="4">
      <w:start w:val="1"/>
      <w:numFmt w:val="decimal"/>
      <w:lvlText w:val="%5."/>
      <w:lvlJc w:val="left"/>
      <w:pPr>
        <w:ind w:hanging="329" w:left="2835"/>
      </w:pPr>
      <w:rPr>
        <w:rFonts w:hint="eastAsia"/>
      </w:rPr>
    </w:lvl>
    <w:lvl w:ilvl="5">
      <w:start w:val="1"/>
      <w:numFmt w:val="decimal"/>
      <w:lvlText w:val="%6)"/>
      <w:lvlJc w:val="left"/>
      <w:pPr>
        <w:ind w:hanging="329" w:left="3402"/>
      </w:pPr>
      <w:rPr>
        <w:rFonts w:hint="eastAsia"/>
      </w:rPr>
    </w:lvl>
    <w:lvl w:ilvl="6">
      <w:start w:val="1"/>
      <w:numFmt w:val="upperLetter"/>
      <w:lvlText w:val="%7."/>
      <w:lvlJc w:val="left"/>
      <w:pPr>
        <w:ind w:hanging="329" w:left="3969"/>
      </w:pPr>
      <w:rPr>
        <w:rFonts w:hint="eastAsia"/>
      </w:rPr>
    </w:lvl>
    <w:lvl w:ilvl="7">
      <w:start w:val="1"/>
      <w:numFmt w:val="lowerLetter"/>
      <w:lvlText w:val="%8."/>
      <w:lvlJc w:val="left"/>
      <w:pPr>
        <w:ind w:hanging="329" w:left="4536"/>
      </w:pPr>
      <w:rPr>
        <w:rFonts w:hint="eastAsia"/>
      </w:rPr>
    </w:lvl>
    <w:lvl w:ilvl="8">
      <w:start w:val="1"/>
      <w:numFmt w:val="lowerRoman"/>
      <w:lvlText w:val="%9."/>
      <w:lvlJc w:val="left"/>
      <w:pPr>
        <w:ind w:hanging="329" w:left="5103"/>
      </w:pPr>
      <w:rPr>
        <w:rFonts w:hint="eastAsia"/>
      </w:rPr>
    </w:lvl>
  </w:abstractNum>
  <w:abstractNum w15:restartNumberingAfterBreak="0" w:abstractNumId="3">
    <w:nsid w:val="2BC278D3"/>
    <w:multiLevelType w:val="multilevel"/>
    <w:tmpl w:val="5262CB2E"/>
    <w:styleLink w:val="1"/>
    <w:lvl w:ilvl="0">
      <w:numFmt w:val="bullet"/>
      <w:lvlText w:val="•"/>
      <w:lvlJc w:val="left"/>
      <w:pPr>
        <w:ind w:hanging="480" w:left="720"/>
      </w:pPr>
      <w:rPr>
        <w:rFonts w:ascii="微软雅黑" w:eastAsia="微软雅黑" w:hAnsi="微软雅黑" w:hint="eastAsia"/>
        <w:sz w:val="28"/>
      </w:rPr>
    </w:lvl>
    <w:lvl w:ilvl="1">
      <w:numFmt w:val="bullet"/>
      <w:lvlText w:val=""/>
      <w:lvlJc w:val="left"/>
      <w:pPr>
        <w:ind w:hanging="480" w:left="1440"/>
      </w:pPr>
      <w:rPr>
        <w:rFonts w:ascii="Wingdings" w:eastAsia="微软雅黑" w:hAnsi="Wingdings" w:hint="default"/>
        <w:sz w:val="28"/>
      </w:rPr>
    </w:lvl>
    <w:lvl w:ilvl="2">
      <w:numFmt w:val="bullet"/>
      <w:lvlText w:val=""/>
      <w:lvlJc w:val="left"/>
      <w:pPr>
        <w:ind w:hanging="480" w:left="2160"/>
      </w:pPr>
      <w:rPr>
        <w:rFonts w:ascii="Wingdings" w:eastAsia="微软雅黑" w:hAnsi="Wingdings" w:hint="default"/>
        <w:sz w:val="28"/>
      </w:rPr>
    </w:lvl>
    <w:lvl w:ilvl="3">
      <w:numFmt w:val="bullet"/>
      <w:lvlText w:val="•"/>
      <w:lvlJc w:val="left"/>
      <w:pPr>
        <w:ind w:hanging="480" w:left="2880"/>
      </w:pPr>
      <w:rPr>
        <w:rFonts w:ascii="微软雅黑" w:eastAsia="微软雅黑" w:hAnsi="微软雅黑" w:hint="eastAsia"/>
        <w:sz w:val="28"/>
      </w:rPr>
    </w:lvl>
    <w:lvl w:ilvl="4">
      <w:numFmt w:val="bullet"/>
      <w:lvlText w:val="•"/>
      <w:lvlJc w:val="left"/>
      <w:pPr>
        <w:ind w:hanging="480" w:left="3600"/>
      </w:pPr>
      <w:rPr>
        <w:rFonts w:ascii="微软雅黑" w:eastAsia="微软雅黑" w:hAnsi="微软雅黑" w:hint="eastAsia"/>
        <w:sz w:val="28"/>
      </w:rPr>
    </w:lvl>
    <w:lvl w:ilvl="5">
      <w:numFmt w:val="bullet"/>
      <w:lvlText w:val="•"/>
      <w:lvlJc w:val="left"/>
      <w:pPr>
        <w:ind w:hanging="480" w:left="4320"/>
      </w:pPr>
      <w:rPr>
        <w:rFonts w:eastAsia="微软雅黑" w:hint="eastAsia"/>
        <w:sz w:val="28"/>
      </w:rPr>
    </w:lvl>
    <w:lvl w:ilvl="6">
      <w:numFmt w:val="bullet"/>
      <w:lvlText w:val="•"/>
      <w:lvlJc w:val="left"/>
      <w:pPr>
        <w:ind w:hanging="480" w:left="5040"/>
      </w:pPr>
      <w:rPr>
        <w:rFonts w:eastAsia="微软雅黑"/>
        <w:sz w:val="28"/>
      </w:rPr>
    </w:lvl>
    <w:lvl w:ilvl="7">
      <w:numFmt w:val="bullet"/>
      <w:lvlText w:val="•"/>
      <w:lvlJc w:val="left"/>
      <w:pPr>
        <w:ind w:hanging="480" w:left="5760"/>
      </w:pPr>
      <w:rPr>
        <w:rFonts w:eastAsia="微软雅黑" w:hint="eastAsia"/>
        <w:sz w:val="28"/>
      </w:rPr>
    </w:lvl>
    <w:lvl w:ilvl="8">
      <w:numFmt w:val="bullet"/>
      <w:lvlText w:val="•"/>
      <w:lvlJc w:val="left"/>
      <w:pPr>
        <w:ind w:hanging="480" w:left="6480"/>
      </w:pPr>
      <w:rPr>
        <w:rFonts w:eastAsia="微软雅黑" w:hint="eastAsia"/>
        <w:sz w:val="28"/>
      </w:rPr>
    </w:lvl>
  </w:abstractNum>
  <w:abstractNum w15:restartNumberingAfterBreak="0" w:abstractNumId="4">
    <w:nsid w:val="553929AC"/>
    <w:multiLevelType w:val="multilevel"/>
    <w:tmpl w:val="22C0AC60"/>
    <w:styleLink w:val="2"/>
    <w:lvl w:ilvl="0">
      <w:start w:val="1"/>
      <w:numFmt w:val="decimal"/>
      <w:lvlText w:val="%1."/>
      <w:lvlJc w:val="left"/>
      <w:pPr>
        <w:ind w:hanging="480" w:left="1440"/>
      </w:pPr>
      <w:rPr>
        <w:rFonts w:hint="eastAsia"/>
      </w:rPr>
    </w:lvl>
    <w:lvl w:ilvl="1">
      <w:start w:val="1"/>
      <w:numFmt w:val="decimal"/>
      <w:lvlText w:val="%2)"/>
      <w:lvlJc w:val="left"/>
      <w:pPr>
        <w:ind w:hanging="480" w:left="2160"/>
      </w:pPr>
      <w:rPr>
        <w:rFonts w:hint="eastAsia"/>
      </w:rPr>
    </w:lvl>
    <w:lvl w:ilvl="2">
      <w:start w:val="1"/>
      <w:numFmt w:val="upperLetter"/>
      <w:lvlText w:val="%3."/>
      <w:lvlJc w:val="left"/>
      <w:pPr>
        <w:ind w:hanging="480" w:left="2880"/>
      </w:pPr>
      <w:rPr>
        <w:rFonts w:hint="eastAsia"/>
      </w:rPr>
    </w:lvl>
    <w:lvl w:ilvl="3">
      <w:start w:val="1"/>
      <w:numFmt w:val="lowerLetter"/>
      <w:lvlText w:val="%4."/>
      <w:lvlJc w:val="left"/>
      <w:pPr>
        <w:ind w:hanging="480" w:left="3600"/>
      </w:pPr>
      <w:rPr>
        <w:rFonts w:hint="eastAsia"/>
      </w:rPr>
    </w:lvl>
    <w:lvl w:ilvl="4">
      <w:start w:val="1"/>
      <w:numFmt w:val="decimal"/>
      <w:lvlText w:val="%5."/>
      <w:lvlJc w:val="left"/>
      <w:pPr>
        <w:ind w:hanging="480" w:left="4320"/>
      </w:pPr>
      <w:rPr>
        <w:rFonts w:hint="eastAsia"/>
      </w:rPr>
    </w:lvl>
    <w:lvl w:ilvl="5">
      <w:start w:val="1"/>
      <w:numFmt w:val="decimal"/>
      <w:lvlText w:val="%6)"/>
      <w:lvlJc w:val="left"/>
      <w:pPr>
        <w:ind w:hanging="480" w:left="5040"/>
      </w:pPr>
      <w:rPr>
        <w:rFonts w:hint="eastAsia"/>
      </w:rPr>
    </w:lvl>
    <w:lvl w:ilvl="6">
      <w:start w:val="1"/>
      <w:numFmt w:val="upperLetter"/>
      <w:lvlText w:val="%7."/>
      <w:lvlJc w:val="left"/>
      <w:pPr>
        <w:ind w:hanging="480" w:left="5760"/>
      </w:pPr>
      <w:rPr>
        <w:rFonts w:hint="eastAsia"/>
      </w:rPr>
    </w:lvl>
    <w:lvl w:ilvl="7">
      <w:start w:val="1"/>
      <w:numFmt w:val="lowerLetter"/>
      <w:lvlText w:val="%8."/>
      <w:lvlJc w:val="left"/>
      <w:pPr>
        <w:ind w:hanging="480" w:left="6480"/>
      </w:pPr>
      <w:rPr>
        <w:rFonts w:hint="eastAsia"/>
      </w:rPr>
    </w:lvl>
    <w:lvl w:ilvl="8">
      <w:start w:val="1"/>
      <w:numFmt w:val="lowerRoman"/>
      <w:lvlText w:val="%9."/>
      <w:lvlJc w:val="left"/>
      <w:pPr>
        <w:ind w:hanging="480" w:left="7200"/>
      </w:pPr>
      <w:rPr>
        <w:rFonts w:hint="eastAsia"/>
      </w:rPr>
    </w:lvl>
  </w:abstractNum>
  <w:abstractNum w:abstractNumId="990">
    <w:nsid w:val="A990"/>
    <w:multiLevelType w:val="multilevel"/>
    <w:lvl w:ilvl="0">
      <w:numFmt w:val="bullet"/>
      <w:lvlText w:val=" "/>
      <w:lvlJc w:val="left"/>
      <w:pPr>
        <w:ind w:left="720" w:hanging="480"/>
      </w:pPr>
    </w:lvl>
    <w:lvl w:ilvl="1">
      <w:numFmt w:val="bullet"/>
      <w:lvlText w:val=" "/>
      <w:lvlJc w:val="left"/>
      <w:pPr>
        <w:ind w:left="1440" w:hanging="480"/>
      </w:pPr>
    </w:lvl>
    <w:lvl w:ilvl="2">
      <w:numFmt w:val="bullet"/>
      <w:lvlText w:val=" "/>
      <w:lvlJc w:val="left"/>
      <w:pPr>
        <w:ind w:left="2160" w:hanging="480"/>
      </w:pPr>
    </w:lvl>
    <w:lvl w:ilvl="3">
      <w:numFmt w:val="bullet"/>
      <w:lvlText w:val=" "/>
      <w:lvlJc w:val="left"/>
      <w:pPr>
        <w:ind w:left="2880" w:hanging="480"/>
      </w:pPr>
    </w:lvl>
    <w:lvl w:ilvl="4">
      <w:numFmt w:val="bullet"/>
      <w:lvlText w:val=" "/>
      <w:lvlJc w:val="left"/>
      <w:pPr>
        <w:ind w:left="3600" w:hanging="480"/>
      </w:pPr>
    </w:lvl>
    <w:lvl w:ilvl="5">
      <w:numFmt w:val="bullet"/>
      <w:lvlText w:val=" "/>
      <w:lvlJc w:val="left"/>
      <w:pPr>
        <w:ind w:left="4320" w:hanging="480"/>
      </w:pPr>
    </w:lvl>
    <w:lvl w:ilvl="6">
      <w:numFmt w:val="bullet"/>
      <w:lvlText w:val=" "/>
      <w:lvlJc w:val="left"/>
      <w:pPr>
        <w:ind w:left="5040" w:hanging="480"/>
      </w:pPr>
    </w:lvl>
    <w:lvl w:ilvl="7">
      <w:numFmt w:val="bullet"/>
      <w:lvlText w:val=" "/>
      <w:lvlJc w:val="left"/>
      <w:pPr>
        <w:ind w:left="5760" w:hanging="480"/>
      </w:pPr>
    </w:lvl>
    <w:lvl w:ilvl="8">
      <w:numFmt w:val="bullet"/>
      <w:lvlText w:val=" "/>
      <w:lvlJc w:val="left"/>
      <w:pPr>
        <w:ind w:left="6480" w:hanging="480"/>
      </w:pPr>
    </w:lvl>
  </w:abstractNum>
  <w:abstractNum w:abstractNumId="991">
    <w:nsid w:val="A991"/>
    <w:multiLevelType w:val="multilevel"/>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num w16cid:durableId="179438853" w:numId="1">
    <w:abstractNumId w:val="3"/>
  </w:num>
  <w:num w16cid:durableId="1185561364" w:numId="2">
    <w:abstractNumId w:val="4"/>
  </w:num>
  <w:num w16cid:durableId="2049603216" w:numId="3">
    <w:abstractNumId w:val="0"/>
  </w:num>
  <w:num w16cid:durableId="703869699" w:numId="4">
    <w:abstractNumId w:val="2"/>
  </w:num>
  <w:num w16cid:durableId="1822653246"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2079478619"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1567565266"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1744447668" w:numId="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1594360317"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898518209"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843059312"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16cid:durableId="2111394418" w:numId="12">
    <w:abstractNumId w:val="1"/>
  </w:num>
  <w:num w16cid:durableId="723678939" w:numId="13">
    <w:abstractNumId w:val="1"/>
  </w:num>
  <w:num w16cid:durableId="2047368205" w:numId="14">
    <w:abstractNumId w:val="1"/>
  </w:num>
  <w:num w16cid:durableId="974989202" w:numId="15">
    <w:abstractNumId w:val="1"/>
  </w:num>
  <w:num w16cid:durableId="55974617" w:numId="16">
    <w:abstractNumId w:val="1"/>
  </w:num>
  <w:num w16cid:durableId="1273897876" w:numId="17">
    <w:abstractNumId w:val="1"/>
  </w:num>
  <w:num w16cid:durableId="1449272727" w:numId="18">
    <w:abstractNumId w:val="1"/>
  </w:num>
  <w:num w16cid:durableId="154762627" w:numId="19">
    <w:abstractNumId w:val="1"/>
  </w:num>
  <w:num w16cid:durableId="1122966913" w:numId="20">
    <w:abstractNumId w:val="1"/>
  </w:num>
  <w:num w16cid:durableId="370495256"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0">
    <w:abstractNumId w:val="990"/>
  </w:num>
  <w:num w:numId="1001">
    <w:abstractNumId w:val="991"/>
  </w:num>
  <w:num w:numId="1002">
    <w:abstractNumId w:val="991"/>
  </w:num>
  <w:num w:numId="1003">
    <w:abstractNumId w:val="991"/>
  </w:num>
  <w:num w:numId="1004">
    <w:abstractNumId w:val="991"/>
  </w:num>
  <w:num w:numId="1005">
    <w:abstractNumId w:val="991"/>
  </w:num>
  <w:num w:numId="1006">
    <w:abstractNumId w:val="991"/>
  </w:num>
  <w:num w:numId="1007">
    <w:abstractNumId w:val="991"/>
  </w:num>
  <w:num w:numId="1008">
    <w:abstractNumId w:val="991"/>
  </w:num>
  <w:num w:numId="1009">
    <w:abstractNumId w:val="991"/>
  </w:num>
  <w:num w:numId="1010">
    <w:abstractNumId w:val="991"/>
  </w:num>
  <w:num w:numId="1011">
    <w:abstractNumId w:val="991"/>
  </w:num>
  <w:num w:numId="1012">
    <w:abstractNumId w:val="991"/>
  </w:num>
  <w:num w:numId="1013">
    <w:abstractNumId w:val="991"/>
  </w:num>
  <w:num w:numId="1014">
    <w:abstractNumId w:val="991"/>
  </w:num>
  <w:num w:numId="1015">
    <w:abstractNumId w:val="991"/>
  </w:num>
  <w:num w:numId="1016">
    <w:abstractNumId w:val="991"/>
  </w:num>
  <w:num w:numId="1017">
    <w:abstractNumId w:val="991"/>
  </w:num>
  <w:num w:numId="1018">
    <w:abstractNumId w:val="991"/>
  </w:num>
  <w:num w:numId="1019">
    <w:abstractNumId w:val="991"/>
  </w:num>
  <w:num w:numId="1020">
    <w:abstractNumId w:val="991"/>
  </w:num>
  <w:num w:numId="1021">
    <w:abstractNumId w:val="991"/>
  </w:num>
  <w:num w:numId="1022">
    <w:abstractNumId w:val="991"/>
  </w:num>
  <w:num w:numId="1023">
    <w:abstractNumId w:val="991"/>
  </w:num>
  <w:num w:numId="1024">
    <w:abstractNumId w:val="991"/>
  </w:num>
  <w:num w:numId="1025">
    <w:abstractNumId w:val="991"/>
  </w:num>
  <w:num w:numId="1026">
    <w:abstractNumId w:val="991"/>
  </w:num>
  <w:num w:numId="1027">
    <w:abstractNumId w:val="991"/>
  </w:num>
  <w:num w:numId="1028">
    <w:abstractNumId w:val="991"/>
  </w:num>
  <w:num w:numId="1029">
    <w:abstractNumId w:val="991"/>
  </w:num>
  <w:num w:numId="1030">
    <w:abstractNumId w:val="991"/>
  </w:num>
  <w:num w:numId="1031">
    <w:abstractNumId w:val="991"/>
  </w:num>
  <w:num w:numId="1032">
    <w:abstractNumId w:val="991"/>
  </w:num>
  <w:num w:numId="1033">
    <w:abstractNumId w:val="991"/>
  </w:num>
  <w:num w:numId="1034">
    <w:abstractNumId w:val="991"/>
  </w:num>
  <w:num w:numId="1035">
    <w:abstractNumId w:val="991"/>
  </w:num>
  <w:num w:numId="1036">
    <w:abstractNumId w:val="991"/>
  </w:num>
  <w:num w:numId="1037">
    <w:abstractNumId w:val="991"/>
  </w:num>
  <w:num w:numId="1038">
    <w:abstractNumId w:val="991"/>
  </w:num>
  <w:num w:numId="1039">
    <w:abstractNumId w:val="991"/>
  </w:num>
  <w:num w:numId="1040">
    <w:abstractNumId w:val="991"/>
  </w:num>
  <w:num w:numId="1041">
    <w:abstractNumId w:val="991"/>
  </w:num>
  <w:num w:numId="1042">
    <w:abstractNumId w:val="991"/>
  </w:num>
  <w:num w:numId="1043">
    <w:abstractNumId w:val="991"/>
  </w:num>
  <w:num w:numId="1044">
    <w:abstractNumId w:val="991"/>
  </w:num>
  <w:num w:numId="1045">
    <w:abstractNumId w:val="991"/>
  </w:num>
  <w:num w:numId="1046">
    <w:abstractNumId w:val="991"/>
  </w:num>
  <w:num w:numId="1047">
    <w:abstractNumId w:val="991"/>
  </w:num>
  <w:num w:numId="1048">
    <w:abstractNumId w:val="991"/>
  </w:num>
  <w:num w:numId="1049">
    <w:abstractNumId w:val="991"/>
  </w:num>
  <w:num w:numId="1050">
    <w:abstractNumId w:val="991"/>
  </w:num>
  <w:num w:numId="1051">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stylePaneFormatFilter w:val="0004"/>
  <w:footnotePr>
    <w:footnote w:id="-1"/>
    <w:footnote w:id="0"/>
  </w:footnotePr>
  <w:savePreviewPicture/>
  <w:rsids>
  </w:rsids>
  <w:clrSchemeMapping w:accent1="accent1" w:accent2="accent2" w:accent3="accent3" w:accent4="accent4" w:accent5="accent5" w:accent6="accent6" w:bg1="light1" w:bg2="light2" w:followedHyperlink="followedHyperlink" w:hyperlink="hyperlink" w:t1="dark1" w:t2="dark2"/>
  <w:zoom w:percent="150"/>
  <w:embedSystemFonts/>
  <w:proofState w:spelling="clean"/>
  <w:doNotTrackMoves/>
  <w:defaultTabStop w:val="720"/>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val="0"/>
    <m:lMargin m:val="0"/>
    <m:rMargin m:val="0"/>
    <m:defJc m:val="centerGroup"/>
    <m:wrapRight/>
    <m:intLim m:val="subSup"/>
    <m:naryLim m:val="subSup"/>
  </m:mathPr>
  <w:themeFontLang w:eastAsia="zh-CN" w:val="en-U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4"/>
        <w:szCs w:val="24"/>
        <w:lang w:bidi="ar-SA" w:eastAsia="en-US" w:val="en-US"/>
      </w:rPr>
    </w:rPrDefault>
    <w:pPrDefault>
      <w:pPr>
        <w:spacing w:after="200"/>
      </w:pPr>
    </w:pPrDefault>
  </w:docDefaults>
  <w:latentStyles w:count="376" w:defLockedState="0" w:defQFormat="0" w:defSemiHidden="0" w:defUIPriority="0" w:defUnhideWhenUsed="0">
    <w:lsdException w:name="footer"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default="1" w:styleId="a" w:type="paragraph">
    <w:name w:val="Normal"/>
    <w:qFormat/>
    <w:rsid w:val="003C2097"/>
    <w:pPr>
      <w:spacing w:after="0" w:line="360" w:lineRule="auto"/>
    </w:pPr>
    <w:rPr>
      <w:rFonts w:ascii="Times New Roman" w:eastAsia="宋体" w:hAnsi="Times New Roman"/>
    </w:rPr>
  </w:style>
  <w:style w:styleId="10" w:type="paragraph">
    <w:name w:val="heading 1"/>
    <w:basedOn w:val="a"/>
    <w:next w:val="a0"/>
    <w:autoRedefine/>
    <w:uiPriority w:val="9"/>
    <w:qFormat/>
    <w:rsid w:val="00240F92"/>
    <w:pPr>
      <w:keepNext/>
      <w:keepLines/>
      <w:pageBreakBefore/>
      <w:spacing w:before="480"/>
      <w:jc w:val="center"/>
      <w:outlineLvl w:val="0"/>
    </w:pPr>
    <w:rPr>
      <w:rFonts w:cstheme="majorBidi" w:eastAsia="黑体"/>
      <w:b/>
      <w:bCs/>
      <w:sz w:val="36"/>
      <w:szCs w:val="32"/>
    </w:rPr>
  </w:style>
  <w:style w:styleId="20" w:type="paragraph">
    <w:name w:val="heading 2"/>
    <w:basedOn w:val="a"/>
    <w:next w:val="a0"/>
    <w:uiPriority w:val="9"/>
    <w:unhideWhenUsed/>
    <w:qFormat/>
    <w:rsid w:val="00C22677"/>
    <w:pPr>
      <w:keepNext/>
      <w:keepLines/>
      <w:spacing w:before="300"/>
      <w:outlineLvl w:val="1"/>
    </w:pPr>
    <w:rPr>
      <w:rFonts w:cstheme="majorBidi" w:eastAsia="黑体"/>
      <w:b/>
      <w:bCs/>
      <w:sz w:val="32"/>
      <w:szCs w:val="32"/>
    </w:rPr>
  </w:style>
  <w:style w:styleId="3" w:type="paragraph">
    <w:name w:val="heading 3"/>
    <w:basedOn w:val="a"/>
    <w:next w:val="a0"/>
    <w:uiPriority w:val="9"/>
    <w:unhideWhenUsed/>
    <w:qFormat/>
    <w:rsid w:val="00C22677"/>
    <w:pPr>
      <w:keepNext/>
      <w:keepLines/>
      <w:spacing w:before="200"/>
      <w:outlineLvl w:val="2"/>
    </w:pPr>
    <w:rPr>
      <w:rFonts w:asciiTheme="majorHAnsi" w:cstheme="majorBidi" w:eastAsia="黑体" w:hAnsiTheme="majorHAnsi"/>
      <w:b/>
      <w:bCs/>
      <w:sz w:val="26"/>
      <w:szCs w:val="28"/>
    </w:rPr>
  </w:style>
  <w:style w:styleId="4" w:type="paragraph">
    <w:name w:val="heading 4"/>
    <w:basedOn w:val="a"/>
    <w:next w:val="a0"/>
    <w:uiPriority w:val="9"/>
    <w:unhideWhenUsed/>
    <w:qFormat/>
    <w:rsid w:val="00C22677"/>
    <w:pPr>
      <w:keepNext/>
      <w:keepLines/>
      <w:spacing w:before="200"/>
      <w:outlineLvl w:val="3"/>
    </w:pPr>
    <w:rPr>
      <w:rFonts w:asciiTheme="majorHAnsi" w:cstheme="majorBidi" w:eastAsia="黑体" w:hAnsiTheme="majorHAnsi"/>
      <w:bCs/>
    </w:rPr>
  </w:style>
  <w:style w:styleId="5" w:type="paragraph">
    <w:name w:val="heading 5"/>
    <w:basedOn w:val="a"/>
    <w:next w:val="a0"/>
    <w:uiPriority w:val="9"/>
    <w:unhideWhenUsed/>
    <w:qFormat/>
    <w:rsid w:val="00C22677"/>
    <w:pPr>
      <w:keepNext/>
      <w:keepLines/>
      <w:spacing w:before="200"/>
      <w:outlineLvl w:val="4"/>
    </w:pPr>
    <w:rPr>
      <w:rFonts w:asciiTheme="majorHAnsi" w:cstheme="majorBidi" w:eastAsia="黑体" w:hAnsiTheme="majorHAnsi"/>
      <w:iCs/>
    </w:rPr>
  </w:style>
  <w:style w:styleId="6" w:type="paragraph">
    <w:name w:val="heading 6"/>
    <w:basedOn w:val="a"/>
    <w:next w:val="a0"/>
    <w:uiPriority w:val="9"/>
    <w:unhideWhenUsed/>
    <w:qFormat/>
    <w:rsid w:val="00C22677"/>
    <w:pPr>
      <w:keepNext/>
      <w:keepLines/>
      <w:spacing w:before="200"/>
      <w:outlineLvl w:val="5"/>
    </w:pPr>
    <w:rPr>
      <w:rFonts w:asciiTheme="majorHAnsi" w:cstheme="majorBidi" w:eastAsia="黑体" w:hAnsiTheme="majorHAnsi"/>
    </w:rPr>
  </w:style>
  <w:style w:styleId="7" w:type="paragraph">
    <w:name w:val="heading 7"/>
    <w:basedOn w:val="a"/>
    <w:next w:val="a0"/>
    <w:uiPriority w:val="9"/>
    <w:unhideWhenUsed/>
    <w:qFormat/>
    <w:pPr>
      <w:keepNext/>
      <w:keepLines/>
      <w:spacing w:before="200"/>
      <w:outlineLvl w:val="6"/>
    </w:pPr>
    <w:rPr>
      <w:rFonts w:asciiTheme="majorHAnsi" w:cstheme="majorBidi" w:eastAsiaTheme="majorEastAsia" w:hAnsiTheme="majorHAnsi"/>
      <w:color w:themeColor="accent1" w:val="4F81BD"/>
    </w:rPr>
  </w:style>
  <w:style w:styleId="8" w:type="paragraph">
    <w:name w:val="heading 8"/>
    <w:basedOn w:val="a"/>
    <w:next w:val="a0"/>
    <w:uiPriority w:val="9"/>
    <w:unhideWhenUsed/>
    <w:qFormat/>
    <w:pPr>
      <w:keepNext/>
      <w:keepLines/>
      <w:spacing w:before="200"/>
      <w:outlineLvl w:val="7"/>
    </w:pPr>
    <w:rPr>
      <w:rFonts w:asciiTheme="majorHAnsi" w:cstheme="majorBidi" w:eastAsiaTheme="majorEastAsia" w:hAnsiTheme="majorHAnsi"/>
      <w:color w:themeColor="accent1" w:val="4F81BD"/>
    </w:rPr>
  </w:style>
  <w:style w:styleId="9" w:type="paragraph">
    <w:name w:val="heading 9"/>
    <w:basedOn w:val="a"/>
    <w:next w:val="a0"/>
    <w:uiPriority w:val="9"/>
    <w:unhideWhenUsed/>
    <w:qFormat/>
    <w:pPr>
      <w:keepNext/>
      <w:keepLines/>
      <w:spacing w:before="200"/>
      <w:outlineLvl w:val="8"/>
    </w:pPr>
    <w:rPr>
      <w:rFonts w:asciiTheme="majorHAnsi" w:cstheme="majorBidi" w:eastAsiaTheme="majorEastAsia" w:hAnsiTheme="majorHAnsi"/>
      <w:color w:themeColor="accent1" w:val="4F81BD"/>
    </w:rPr>
  </w:style>
  <w:style w:default="1" w:styleId="a1" w:type="character">
    <w:name w:val="Default Paragraph Font"/>
    <w:uiPriority w:val="1"/>
    <w:semiHidden/>
    <w:unhideWhenUsed/>
  </w:style>
  <w:style w:default="1" w:styleId="a2" w:type="table">
    <w:name w:val="Normal Table"/>
    <w:uiPriority w:val="99"/>
    <w:semiHidden/>
    <w:unhideWhenUsed/>
    <w:tblPr>
      <w:tblInd w:type="dxa" w:w="0"/>
      <w:tblCellMar>
        <w:top w:type="dxa" w:w="0"/>
        <w:left w:type="dxa" w:w="108"/>
        <w:bottom w:type="dxa" w:w="0"/>
        <w:right w:type="dxa" w:w="108"/>
      </w:tblCellMar>
    </w:tblPr>
  </w:style>
  <w:style w:default="1" w:styleId="a3" w:type="numbering">
    <w:name w:val="No List"/>
    <w:uiPriority w:val="99"/>
    <w:semiHidden/>
    <w:unhideWhenUsed/>
  </w:style>
  <w:style w:styleId="a0" w:type="paragraph">
    <w:name w:val="Body Text"/>
    <w:basedOn w:val="FirstParagraph"/>
    <w:link w:val="a4"/>
    <w:qFormat/>
    <w:rsid w:val="00743667"/>
  </w:style>
  <w:style w:customStyle="1" w:styleId="FirstParagraph" w:type="paragraph">
    <w:name w:val="First Paragraph"/>
    <w:basedOn w:val="a"/>
    <w:next w:val="a0"/>
    <w:qFormat/>
    <w:rsid w:val="000C100F"/>
    <w:pPr>
      <w:spacing w:before="180"/>
      <w:ind w:firstLine="480" w:firstLineChars="200"/>
    </w:pPr>
    <w:rPr>
      <w:lang w:eastAsia="zh-CN"/>
    </w:rPr>
  </w:style>
  <w:style w:customStyle="1" w:styleId="Compact" w:type="paragraph">
    <w:name w:val="Compact"/>
    <w:basedOn w:val="a0"/>
    <w:qFormat/>
    <w:rsid w:val="00240F92"/>
    <w:pPr>
      <w:spacing w:after="60" w:before="60"/>
      <w:ind w:firstLine="0" w:firstLineChars="0"/>
    </w:pPr>
  </w:style>
  <w:style w:styleId="a5" w:type="paragraph">
    <w:name w:val="Title"/>
    <w:basedOn w:val="a"/>
    <w:next w:val="a0"/>
    <w:qFormat/>
    <w:rsid w:val="00416169"/>
    <w:pPr>
      <w:keepNext/>
      <w:keepLines/>
      <w:spacing w:after="240" w:before="480"/>
      <w:jc w:val="center"/>
    </w:pPr>
    <w:rPr>
      <w:rFonts w:asciiTheme="majorHAnsi" w:cstheme="majorBidi" w:eastAsia="黑体" w:hAnsiTheme="majorHAnsi"/>
      <w:b/>
      <w:bCs/>
      <w:color w:themeColor="text1" w:val="000000"/>
      <w:sz w:val="52"/>
      <w:szCs w:val="36"/>
    </w:rPr>
  </w:style>
  <w:style w:styleId="a6" w:type="paragraph">
    <w:name w:val="Subtitle"/>
    <w:basedOn w:val="a5"/>
    <w:next w:val="a0"/>
    <w:qFormat/>
    <w:rsid w:val="006F0627"/>
    <w:pPr>
      <w:spacing w:before="240"/>
    </w:pPr>
    <w:rPr>
      <w:sz w:val="44"/>
      <w:szCs w:val="30"/>
    </w:rPr>
  </w:style>
  <w:style w:customStyle="1" w:styleId="Author" w:type="paragraph">
    <w:name w:val="Author"/>
    <w:next w:val="a0"/>
    <w:qFormat/>
    <w:pPr>
      <w:keepNext/>
      <w:keepLines/>
      <w:jc w:val="center"/>
    </w:pPr>
  </w:style>
  <w:style w:styleId="a7" w:type="paragraph">
    <w:name w:val="Date"/>
    <w:next w:val="a0"/>
    <w:qFormat/>
    <w:pPr>
      <w:keepNext/>
      <w:keepLines/>
      <w:jc w:val="center"/>
    </w:pPr>
  </w:style>
  <w:style w:customStyle="1" w:styleId="Abstract" w:type="paragraph">
    <w:name w:val="Abstract"/>
    <w:basedOn w:val="a"/>
    <w:next w:val="a0"/>
    <w:qFormat/>
    <w:pPr>
      <w:keepNext/>
      <w:keepLines/>
      <w:spacing w:after="300" w:before="300"/>
    </w:pPr>
    <w:rPr>
      <w:sz w:val="20"/>
      <w:szCs w:val="20"/>
    </w:rPr>
  </w:style>
  <w:style w:styleId="a8" w:type="paragraph">
    <w:name w:val="Bibliography"/>
    <w:basedOn w:val="a"/>
    <w:qFormat/>
    <w:rsid w:val="00EA7BFB"/>
    <w:pPr>
      <w:tabs>
        <w:tab w:pos="384" w:val="left"/>
      </w:tabs>
      <w:spacing w:line="240" w:lineRule="auto"/>
      <w:ind w:hanging="200" w:hangingChars="200" w:left="200"/>
    </w:pPr>
  </w:style>
  <w:style w:styleId="a9" w:type="paragraph">
    <w:name w:val="Block Text"/>
    <w:basedOn w:val="a"/>
    <w:uiPriority w:val="9"/>
    <w:unhideWhenUsed/>
    <w:qFormat/>
    <w:rsid w:val="000E53CA"/>
    <w:pPr>
      <w:pBdr>
        <w:left w:color="BFBFBF" w:space="4" w:sz="48" w:themeColor="background1" w:themeShade="BF" w:val="single"/>
      </w:pBdr>
      <w:spacing w:before="100"/>
      <w:ind w:left="200" w:leftChars="200" w:right="100" w:rightChars="100"/>
    </w:pPr>
    <w:rPr>
      <w:rFonts w:eastAsiaTheme="minorEastAsia"/>
      <w:lang w:eastAsia="zh-CN"/>
    </w:rPr>
  </w:style>
  <w:style w:styleId="aa" w:type="paragraph">
    <w:name w:val="footnote text"/>
    <w:basedOn w:val="a"/>
    <w:uiPriority w:val="9"/>
    <w:unhideWhenUsed/>
    <w:qFormat/>
  </w:style>
  <w:style w:customStyle="1" w:styleId="Table" w:type="table">
    <w:name w:val="Table"/>
    <w:semiHidden/>
    <w:unhideWhenUsed/>
    <w:qFormat/>
    <w:rsid w:val="004F42FD"/>
    <w:pPr>
      <w:jc w:val="center"/>
    </w:pPr>
    <w:rPr>
      <w:rFonts w:ascii="Times New Roman" w:eastAsia="宋体" w:hAnsi="Times New Roman"/>
      <w:sz w:val="20"/>
      <w:szCs w:val="20"/>
      <w:lang w:eastAsia="zh-CN"/>
    </w:rPr>
    <w:tblPr>
      <w:jc w:val="center"/>
      <w:tblInd w:type="dxa" w:w="0"/>
      <w:tblBorders>
        <w:top w:color="auto" w:space="0" w:sz="12" w:val="single"/>
        <w:bottom w:color="auto" w:space="0" w:sz="12" w:val="single"/>
      </w:tblBorders>
      <w:tblCellMar>
        <w:top w:type="dxa" w:w="0"/>
        <w:left w:type="dxa" w:w="108"/>
        <w:bottom w:type="dxa" w:w="0"/>
        <w:right w:type="dxa" w:w="108"/>
      </w:tblCellMar>
    </w:tblPr>
    <w:trPr>
      <w:jc w:val="center"/>
    </w:trPr>
    <w:tcPr>
      <w:vAlign w:val="center"/>
    </w:tcPr>
    <w:tblStylePr w:type="firstRow">
      <w:rPr>
        <w:rFonts w:eastAsia="宋体"/>
        <w:b/>
        <w:i w:val="0"/>
      </w:rPr>
      <w:tblPr/>
      <w:tcPr>
        <w:tcBorders>
          <w:bottom w:color="auto" w:space="0" w:sz="4" w:val="single"/>
        </w:tcBorders>
      </w:tcPr>
    </w:tblStylePr>
  </w:style>
  <w:style w:customStyle="1" w:styleId="DefinitionTerm" w:type="paragraph">
    <w:name w:val="Definition Term"/>
    <w:basedOn w:val="a"/>
    <w:next w:val="Definition"/>
    <w:pPr>
      <w:keepNext/>
      <w:keepLines/>
    </w:pPr>
    <w:rPr>
      <w:b/>
    </w:rPr>
  </w:style>
  <w:style w:customStyle="1" w:styleId="Definition" w:type="paragraph">
    <w:name w:val="Definition"/>
    <w:basedOn w:val="a"/>
  </w:style>
  <w:style w:styleId="ab" w:type="paragraph">
    <w:name w:val="caption"/>
    <w:basedOn w:val="a"/>
    <w:link w:val="ac"/>
    <w:rsid w:val="005D0F42"/>
    <w:pPr>
      <w:spacing w:after="120"/>
      <w:jc w:val="center"/>
    </w:pPr>
  </w:style>
  <w:style w:customStyle="1" w:styleId="TableCaption" w:type="paragraph">
    <w:name w:val="Table Caption"/>
    <w:basedOn w:val="ab"/>
    <w:pPr>
      <w:keepNext/>
    </w:pPr>
  </w:style>
  <w:style w:customStyle="1" w:styleId="ImageCaption" w:type="paragraph">
    <w:name w:val="Image Caption"/>
    <w:basedOn w:val="ab"/>
  </w:style>
  <w:style w:customStyle="1" w:styleId="Figure" w:type="paragraph">
    <w:name w:val="Figure"/>
    <w:basedOn w:val="a"/>
  </w:style>
  <w:style w:customStyle="1" w:styleId="CaptionedFigure" w:type="paragraph">
    <w:name w:val="Captioned Figure"/>
    <w:basedOn w:val="Figure"/>
    <w:pPr>
      <w:keepNext/>
    </w:pPr>
  </w:style>
  <w:style w:customStyle="1" w:styleId="ac" w:type="character">
    <w:name w:val="题注 字符"/>
    <w:basedOn w:val="a1"/>
    <w:link w:val="ab"/>
    <w:rsid w:val="005D0F42"/>
    <w:rPr>
      <w:rFonts w:ascii="Times New Roman" w:eastAsia="宋体" w:hAnsi="Times New Roman"/>
    </w:rPr>
  </w:style>
  <w:style w:customStyle="1" w:styleId="SourceCode" w:type="character">
    <w:name w:val="Source Code 字符"/>
    <w:basedOn w:val="ac"/>
    <w:link w:val="SourceCode0"/>
    <w:rsid w:val="00B0025C"/>
    <w:rPr>
      <w:rFonts w:ascii="Fira Code" w:cs="Times New Roman (正文 CS 字体)" w:eastAsia="宋体" w:hAnsi="Fira Code"/>
      <w:color w:themeColor="text1" w:themeTint="BF" w:val="404040"/>
      <w:sz w:val="21"/>
      <w:lang w:eastAsia="zh-CN"/>
    </w:rPr>
  </w:style>
  <w:style w:styleId="ad" w:type="character">
    <w:name w:val="footnote reference"/>
    <w:basedOn w:val="ac"/>
    <w:rPr>
      <w:rFonts w:ascii="Times New Roman" w:eastAsia="宋体" w:hAnsi="Times New Roman"/>
      <w:vertAlign w:val="superscript"/>
    </w:rPr>
  </w:style>
  <w:style w:styleId="ae" w:type="character">
    <w:name w:val="Hyperlink"/>
    <w:basedOn w:val="ac"/>
    <w:rsid w:val="000C100F"/>
    <w:rPr>
      <w:rFonts w:ascii="Times New Roman" w:eastAsia="宋体" w:hAnsi="Times New Roman"/>
      <w:color w:val="0070C0"/>
    </w:rPr>
  </w:style>
  <w:style w:styleId="TOC" w:type="paragraph">
    <w:name w:val="TOC Heading"/>
    <w:basedOn w:val="10"/>
    <w:next w:val="a0"/>
    <w:uiPriority w:val="39"/>
    <w:unhideWhenUsed/>
    <w:qFormat/>
    <w:pPr>
      <w:spacing w:before="240" w:line="259" w:lineRule="auto"/>
      <w:outlineLvl w:val="9"/>
    </w:pPr>
    <w:rPr>
      <w:b w:val="0"/>
      <w:bCs w:val="0"/>
      <w:color w:themeColor="accent1" w:themeShade="BF" w:val="365F91"/>
    </w:rPr>
  </w:style>
  <w:style w:customStyle="1" w:styleId="SourceCode0" w:type="paragraph">
    <w:name w:val="Source Code"/>
    <w:basedOn w:val="a"/>
    <w:link w:val="SourceCode"/>
    <w:qFormat/>
    <w:rsid w:val="00B0025C"/>
    <w:pPr>
      <w:pBdr>
        <w:top w:color="BFBFBF" w:space="10" w:sz="8" w:themeColor="background1" w:themeShade="BF" w:val="single"/>
        <w:left w:color="BFBFBF" w:space="10" w:sz="8" w:themeColor="background1" w:themeShade="BF" w:val="single"/>
        <w:bottom w:color="BFBFBF" w:space="10" w:sz="8" w:themeColor="background1" w:themeShade="BF" w:val="single"/>
        <w:right w:color="BFBFBF" w:space="10" w:sz="8" w:themeColor="background1" w:themeShade="BF" w:val="single"/>
      </w:pBdr>
      <w:wordWrap w:val="0"/>
      <w:ind w:left="300" w:leftChars="300"/>
    </w:pPr>
    <w:rPr>
      <w:rFonts w:ascii="Fira Code" w:cs="Times New Roman (正文 CS 字体)" w:hAnsi="Fira Code"/>
      <w:color w:themeColor="text1" w:themeTint="BF" w:val="404040"/>
      <w:sz w:val="21"/>
      <w:shd w:color="auto" w:fill="auto" w:val="pct5"/>
      <w:lang w:eastAsia="zh-CN"/>
    </w:rPr>
  </w:style>
  <w:style w:customStyle="1" w:styleId="a4" w:type="character">
    <w:name w:val="正文文本 字符"/>
    <w:basedOn w:val="a1"/>
    <w:link w:val="a0"/>
    <w:rsid w:val="00743667"/>
    <w:rPr>
      <w:rFonts w:ascii="Times New Roman" w:eastAsia="宋体" w:hAnsi="Times New Roman"/>
      <w:lang w:eastAsia="zh-CN"/>
    </w:rPr>
  </w:style>
  <w:style w:styleId="af" w:type="paragraph">
    <w:name w:val="header"/>
    <w:basedOn w:val="a"/>
    <w:link w:val="af0"/>
    <w:rsid w:val="00797A2D"/>
    <w:pPr>
      <w:tabs>
        <w:tab w:pos="4153" w:val="center"/>
        <w:tab w:pos="8306" w:val="right"/>
      </w:tabs>
      <w:snapToGrid w:val="0"/>
      <w:jc w:val="center"/>
    </w:pPr>
    <w:rPr>
      <w:sz w:val="18"/>
      <w:szCs w:val="18"/>
    </w:rPr>
  </w:style>
  <w:style w:customStyle="1" w:styleId="af0" w:type="character">
    <w:name w:val="页眉 字符"/>
    <w:basedOn w:val="a1"/>
    <w:link w:val="af"/>
    <w:rsid w:val="00797A2D"/>
    <w:rPr>
      <w:sz w:val="18"/>
      <w:szCs w:val="18"/>
    </w:rPr>
  </w:style>
  <w:style w:styleId="af1" w:type="paragraph">
    <w:name w:val="footer"/>
    <w:basedOn w:val="a"/>
    <w:link w:val="af2"/>
    <w:uiPriority w:val="99"/>
    <w:rsid w:val="00797A2D"/>
    <w:pPr>
      <w:tabs>
        <w:tab w:pos="4153" w:val="center"/>
        <w:tab w:pos="8306" w:val="right"/>
      </w:tabs>
      <w:snapToGrid w:val="0"/>
    </w:pPr>
    <w:rPr>
      <w:sz w:val="18"/>
      <w:szCs w:val="18"/>
    </w:rPr>
  </w:style>
  <w:style w:customStyle="1" w:styleId="af2" w:type="character">
    <w:name w:val="页脚 字符"/>
    <w:basedOn w:val="a1"/>
    <w:link w:val="af1"/>
    <w:uiPriority w:val="99"/>
    <w:rsid w:val="00797A2D"/>
    <w:rPr>
      <w:sz w:val="18"/>
      <w:szCs w:val="18"/>
    </w:rPr>
  </w:style>
  <w:style w:customStyle="1" w:styleId="1" w:type="numbering">
    <w:name w:val="列表1"/>
    <w:uiPriority w:val="99"/>
    <w:rsid w:val="00797A2D"/>
    <w:pPr>
      <w:numPr>
        <w:numId w:val="1"/>
      </w:numPr>
    </w:pPr>
  </w:style>
  <w:style w:customStyle="1" w:styleId="2" w:type="numbering">
    <w:name w:val="列表2"/>
    <w:uiPriority w:val="99"/>
    <w:rsid w:val="00D42F07"/>
    <w:pPr>
      <w:numPr>
        <w:numId w:val="2"/>
      </w:numPr>
    </w:pPr>
  </w:style>
  <w:style w:customStyle="1" w:styleId="af3" w:type="paragraph">
    <w:name w:val="图片"/>
    <w:basedOn w:val="FirstParagraph"/>
    <w:qFormat/>
    <w:rsid w:val="005D0F42"/>
    <w:pPr>
      <w:keepNext/>
      <w:jc w:val="center"/>
    </w:pPr>
    <w:rPr>
      <w:noProof/>
    </w:rPr>
  </w:style>
  <w:style w:customStyle="1" w:styleId="Compact10071" w:type="paragraph">
    <w:name w:val="样式 Compact + 10 磅 首行缩进:  0.71 厘米"/>
    <w:basedOn w:val="Compact"/>
    <w:rsid w:val="00BF4643"/>
    <w:rPr>
      <w:rFonts w:cs="宋体"/>
      <w:sz w:val="20"/>
      <w:szCs w:val="20"/>
    </w:rPr>
  </w:style>
  <w:style w:customStyle="1" w:styleId="Compact100710" w:type="paragraph">
    <w:name w:val="样式 Compact + 10 磅 加粗 首行缩进:  0.71 厘米"/>
    <w:basedOn w:val="Compact"/>
    <w:rsid w:val="004F42FD"/>
    <w:rPr>
      <w:rFonts w:cs="宋体"/>
      <w:bCs/>
      <w:sz w:val="20"/>
      <w:szCs w:val="20"/>
    </w:rPr>
  </w:style>
  <w:style w:customStyle="1" w:styleId="img" w:type="paragraph">
    <w:name w:val="img"/>
    <w:basedOn w:val="a"/>
    <w:qFormat/>
    <w:rsid w:val="00C22998"/>
    <w:pPr>
      <w:jc w:val="center"/>
    </w:pPr>
    <w:rPr>
      <w:lang w:eastAsia="zh-CN"/>
    </w:rPr>
  </w:style>
  <w:style w:styleId="af4" w:type="character">
    <w:name w:val="page number"/>
    <w:basedOn w:val="a1"/>
    <w:rsid w:val="007D19F5"/>
  </w:style>
  <w:style w:type="character" w:customStyle="1" w:styleId="KeywordTok">
    <w:name w:val="KeywordTok"/>
    <w:basedOn w:val="VerbatimChar"/>
    <w:rPr>
      <w:color w:val="007020"/>
      <w:b/>
    </w:rPr>
  </w:style>
  <w:style w:type="character" w:customStyle="1" w:styleId="DataTypeTok">
    <w:name w:val="DataTypeTok"/>
    <w:basedOn w:val="VerbatimChar"/>
    <w:rPr>
      <w:color w:val="902000"/>
    </w:rPr>
  </w:style>
  <w:style w:type="character" w:customStyle="1" w:styleId="DecValTok">
    <w:name w:val="DecValTok"/>
    <w:basedOn w:val="VerbatimChar"/>
    <w:rPr>
      <w:color w:val="40a070"/>
    </w:rPr>
  </w:style>
  <w:style w:type="character" w:customStyle="1" w:styleId="BaseNTok">
    <w:name w:val="BaseNTok"/>
    <w:basedOn w:val="VerbatimChar"/>
    <w:rPr>
      <w:color w:val="40a070"/>
    </w:rPr>
  </w:style>
  <w:style w:type="character" w:customStyle="1" w:styleId="FloatTok">
    <w:name w:val="FloatTok"/>
    <w:basedOn w:val="VerbatimChar"/>
    <w:rPr>
      <w:color w:val="40a070"/>
    </w:rPr>
  </w:style>
  <w:style w:type="character" w:customStyle="1" w:styleId="ConstantTok">
    <w:name w:val="ConstantTok"/>
    <w:basedOn w:val="VerbatimChar"/>
    <w:rPr>
      <w:color w:val="880000"/>
    </w:rPr>
  </w:style>
  <w:style w:type="character" w:customStyle="1" w:styleId="CharTok">
    <w:name w:val="CharTok"/>
    <w:basedOn w:val="VerbatimChar"/>
    <w:rPr>
      <w:color w:val="4070a0"/>
    </w:rPr>
  </w:style>
  <w:style w:type="character" w:customStyle="1" w:styleId="SpecialCharTok">
    <w:name w:val="SpecialCharTok"/>
    <w:basedOn w:val="VerbatimChar"/>
    <w:rPr>
      <w:color w:val="4070a0"/>
    </w:rPr>
  </w:style>
  <w:style w:type="character" w:customStyle="1" w:styleId="StringTok">
    <w:name w:val="StringTok"/>
    <w:basedOn w:val="VerbatimChar"/>
    <w:rPr>
      <w:color w:val="4070a0"/>
    </w:rPr>
  </w:style>
  <w:style w:type="character" w:customStyle="1" w:styleId="VerbatimStringTok">
    <w:name w:val="VerbatimStringTok"/>
    <w:basedOn w:val="VerbatimChar"/>
    <w:rPr>
      <w:color w:val="4070a0"/>
    </w:rPr>
  </w:style>
  <w:style w:type="character" w:customStyle="1" w:styleId="SpecialStringTok">
    <w:name w:val="SpecialStringTok"/>
    <w:basedOn w:val="VerbatimChar"/>
    <w:rPr>
      <w:color w:val="bb6688"/>
    </w:rPr>
  </w:style>
  <w:style w:type="character" w:customStyle="1" w:styleId="ImportTok">
    <w:name w:val="ImportTok"/>
    <w:basedOn w:val="VerbatimChar"/>
    <w:rPr>
      <w:color w:val="008000"/>
      <w:b/>
    </w:rPr>
  </w:style>
  <w:style w:type="character" w:customStyle="1" w:styleId="CommentTok">
    <w:name w:val="CommentTok"/>
    <w:basedOn w:val="VerbatimChar"/>
    <w:rPr>
      <w:color w:val="60a0b0"/>
      <w:i/>
    </w:rPr>
  </w:style>
  <w:style w:type="character" w:customStyle="1" w:styleId="DocumentationTok">
    <w:name w:val="DocumentationTok"/>
    <w:basedOn w:val="VerbatimChar"/>
    <w:rPr>
      <w:color w:val="ba2121"/>
      <w:i/>
    </w:rPr>
  </w:style>
  <w:style w:type="character" w:customStyle="1" w:styleId="AnnotationTok">
    <w:name w:val="AnnotationTok"/>
    <w:basedOn w:val="VerbatimChar"/>
    <w:rPr>
      <w:color w:val="60a0b0"/>
      <w:b/>
      <w:i/>
    </w:rPr>
  </w:style>
  <w:style w:type="character" w:customStyle="1" w:styleId="CommentVarTok">
    <w:name w:val="CommentVarTok"/>
    <w:basedOn w:val="VerbatimChar"/>
    <w:rPr>
      <w:color w:val="60a0b0"/>
      <w:b/>
      <w:i/>
    </w:rPr>
  </w:style>
  <w:style w:type="character" w:customStyle="1" w:styleId="OtherTok">
    <w:name w:val="OtherTok"/>
    <w:basedOn w:val="VerbatimChar"/>
    <w:rPr>
      <w:color w:val="007020"/>
    </w:rPr>
  </w:style>
  <w:style w:type="character" w:customStyle="1" w:styleId="FunctionTok">
    <w:name w:val="FunctionTok"/>
    <w:basedOn w:val="VerbatimChar"/>
    <w:rPr>
      <w:color w:val="06287e"/>
    </w:rPr>
  </w:style>
  <w:style w:type="character" w:customStyle="1" w:styleId="VariableTok">
    <w:name w:val="VariableTok"/>
    <w:basedOn w:val="VerbatimChar"/>
    <w:rPr>
      <w:color w:val="19177c"/>
    </w:rPr>
  </w:style>
  <w:style w:type="character" w:customStyle="1" w:styleId="ControlFlowTok">
    <w:name w:val="ControlFlowTok"/>
    <w:basedOn w:val="VerbatimChar"/>
    <w:rPr>
      <w:color w:val="007020"/>
      <w:b/>
    </w:rPr>
  </w:style>
  <w:style w:type="character" w:customStyle="1" w:styleId="OperatorTok">
    <w:name w:val="OperatorTok"/>
    <w:basedOn w:val="VerbatimChar"/>
    <w:rPr>
      <w:color w:val="666666"/>
    </w:rPr>
  </w:style>
  <w:style w:type="character" w:customStyle="1" w:styleId="BuiltInTok">
    <w:name w:val="BuiltInTok"/>
    <w:basedOn w:val="VerbatimChar"/>
    <w:rPr>
      <w:color w:val="008000"/>
    </w:rPr>
  </w:style>
  <w:style w:type="character" w:customStyle="1" w:styleId="ExtensionTok">
    <w:name w:val="ExtensionTok"/>
    <w:basedOn w:val="VerbatimChar"/>
    <w:rPr/>
  </w:style>
  <w:style w:type="character" w:customStyle="1" w:styleId="PreprocessorTok">
    <w:name w:val="PreprocessorTok"/>
    <w:basedOn w:val="VerbatimChar"/>
    <w:rPr>
      <w:color w:val="bc7a00"/>
    </w:rPr>
  </w:style>
  <w:style w:type="character" w:customStyle="1" w:styleId="AttributeTok">
    <w:name w:val="AttributeTok"/>
    <w:basedOn w:val="VerbatimChar"/>
    <w:rPr>
      <w:color w:val="7d9029"/>
    </w:rPr>
  </w:style>
  <w:style w:type="character" w:customStyle="1" w:styleId="RegionMarkerTok">
    <w:name w:val="RegionMarkerTok"/>
    <w:basedOn w:val="VerbatimChar"/>
    <w:rPr/>
  </w:style>
  <w:style w:type="character" w:customStyle="1" w:styleId="InformationTok">
    <w:name w:val="InformationTok"/>
    <w:basedOn w:val="VerbatimChar"/>
    <w:rPr>
      <w:color w:val="60a0b0"/>
      <w:b/>
      <w:i/>
    </w:rPr>
  </w:style>
  <w:style w:type="character" w:customStyle="1" w:styleId="WarningTok">
    <w:name w:val="WarningTok"/>
    <w:basedOn w:val="VerbatimChar"/>
    <w:rPr>
      <w:color w:val="60a0b0"/>
      <w:b/>
      <w:i/>
    </w:rPr>
  </w:style>
  <w:style w:type="character" w:customStyle="1" w:styleId="AlertTok">
    <w:name w:val="AlertTok"/>
    <w:basedOn w:val="VerbatimChar"/>
    <w:rPr>
      <w:color w:val="ff0000"/>
      <w:b/>
    </w:rPr>
  </w:style>
  <w:style w:type="character" w:customStyle="1" w:styleId="ErrorTok">
    <w:name w:val="ErrorTok"/>
    <w:basedOn w:val="VerbatimChar"/>
    <w:rPr>
      <w:color w:val="ff0000"/>
      <w:b/>
    </w:rPr>
  </w:style>
  <w:style w:type="character" w:customStyle="1" w:styleId="NormalTok">
    <w:name w:val="NormalTok"/>
    <w:basedOn w:val="VerbatimCh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6" Type="http://schemas.openxmlformats.org/officeDocument/2006/relationships/theme" Target="theme/theme1.xml"/><Relationship Id="rId7" Type="http://schemas.openxmlformats.org/officeDocument/2006/relationships/footnotes" Target="footnotes.xml"/><Relationship Id="rId8" Type="http://schemas.openxmlformats.org/officeDocument/2006/relationships/comments" Target="comments.xml"/><Relationship Id="rId9" Type="http://schemas.openxmlformats.org/officeDocument/2006/relationships/header" Target="header2.xml"/><Relationship Id="rId10" Type="http://schemas.openxmlformats.org/officeDocument/2006/relationships/header" Target="header1.xml"/><Relationship Id="rId11" Type="http://schemas.openxmlformats.org/officeDocument/2006/relationships/header" Target="header3.xml"/><Relationship Id="rId12" Type="http://schemas.openxmlformats.org/officeDocument/2006/relationships/footer" Target="footer3.xml"/><Relationship Id="rId13" Type="http://schemas.openxmlformats.org/officeDocument/2006/relationships/footer" Target="footer2.xml"/><Relationship Id="rId14" Type="http://schemas.openxmlformats.org/officeDocument/2006/relationships/footer" Target="footer1.xml"/><Relationship Id="rId113" Type="http://schemas.openxmlformats.org/officeDocument/2006/relationships/image" Target="media/rId113.png"/><Relationship Id="rId117" Type="http://schemas.openxmlformats.org/officeDocument/2006/relationships/image" Target="media/rId117.png"/><Relationship Id="rId109" Type="http://schemas.openxmlformats.org/officeDocument/2006/relationships/image" Target="media/rId109.png"/><Relationship Id="rId105" Type="http://schemas.openxmlformats.org/officeDocument/2006/relationships/image" Target="media/rId105.png"/><Relationship Id="rId199" Type="http://schemas.openxmlformats.org/officeDocument/2006/relationships/image" Target="media/rId199.png"/><Relationship Id="rId195" Type="http://schemas.openxmlformats.org/officeDocument/2006/relationships/image" Target="media/rId195.png"/><Relationship Id="rId191" Type="http://schemas.openxmlformats.org/officeDocument/2006/relationships/image" Target="media/rId191.png"/><Relationship Id="rId78" Type="http://schemas.openxmlformats.org/officeDocument/2006/relationships/image" Target="media/rId78.png"/><Relationship Id="rId70" Type="http://schemas.openxmlformats.org/officeDocument/2006/relationships/image" Target="media/rId70.png"/><Relationship Id="rId74" Type="http://schemas.openxmlformats.org/officeDocument/2006/relationships/image" Target="media/rId74.png"/><Relationship Id="rId96" Type="http://schemas.openxmlformats.org/officeDocument/2006/relationships/image" Target="media/rId96.png"/><Relationship Id="rId88" Type="http://schemas.openxmlformats.org/officeDocument/2006/relationships/image" Target="media/rId88.png"/><Relationship Id="rId92" Type="http://schemas.openxmlformats.org/officeDocument/2006/relationships/image" Target="media/rId92.png"/><Relationship Id="rId100" Type="http://schemas.openxmlformats.org/officeDocument/2006/relationships/image" Target="media/rId100.png"/><Relationship Id="rId83" Type="http://schemas.openxmlformats.org/officeDocument/2006/relationships/image" Target="media/rId83.png"/><Relationship Id="rId147" Type="http://schemas.openxmlformats.org/officeDocument/2006/relationships/image" Target="media/rId147.png"/><Relationship Id="rId143" Type="http://schemas.openxmlformats.org/officeDocument/2006/relationships/image" Target="media/rId143.png"/><Relationship Id="rId139" Type="http://schemas.openxmlformats.org/officeDocument/2006/relationships/image" Target="media/rId139.png"/><Relationship Id="rId178" Type="http://schemas.openxmlformats.org/officeDocument/2006/relationships/image" Target="media/rId178.png"/><Relationship Id="rId182" Type="http://schemas.openxmlformats.org/officeDocument/2006/relationships/image" Target="media/rId182.png"/><Relationship Id="rId186" Type="http://schemas.openxmlformats.org/officeDocument/2006/relationships/image" Target="media/rId186.png"/><Relationship Id="rId122" Type="http://schemas.openxmlformats.org/officeDocument/2006/relationships/image" Target="media/rId122.png"/><Relationship Id="rId134" Type="http://schemas.openxmlformats.org/officeDocument/2006/relationships/image" Target="media/rId134.png"/><Relationship Id="rId130" Type="http://schemas.openxmlformats.org/officeDocument/2006/relationships/image" Target="media/rId130.png"/><Relationship Id="rId126" Type="http://schemas.openxmlformats.org/officeDocument/2006/relationships/image" Target="media/rId126.png"/><Relationship Id="rId169" Type="http://schemas.openxmlformats.org/officeDocument/2006/relationships/image" Target="media/rId169.png"/><Relationship Id="rId173" Type="http://schemas.openxmlformats.org/officeDocument/2006/relationships/image" Target="media/rId173.png"/><Relationship Id="rId165" Type="http://schemas.openxmlformats.org/officeDocument/2006/relationships/image" Target="media/rId165.png"/><Relationship Id="rId160" Type="http://schemas.openxmlformats.org/officeDocument/2006/relationships/image" Target="media/rId160.png"/><Relationship Id="rId152" Type="http://schemas.openxmlformats.org/officeDocument/2006/relationships/image" Target="media/rId152.png"/><Relationship Id="rId156" Type="http://schemas.openxmlformats.org/officeDocument/2006/relationships/image" Target="media/rId1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110</TotalTime>
  <Pages>12</Pages>
  <Words>657</Words>
  <Characters>3670</Characters>
  <Application>Microsoft Office Word</Application>
  <DocSecurity>0</DocSecurity>
  <Lines>407</Lines>
  <Paragraphs>432</Paragraphs>
  <ScaleCrop>false</ScaleCrop>
  <HeadingPairs>
    <vt:vector size="2" baseType="variant">
      <vt:variant>
        <vt:lpstr>Название</vt:lpstr>
      </vt:variant>
      <vt:variant>
        <vt:i4>1</vt:i4>
      </vt:variant>
    </vt:vector>
  </HeadingPairs>
  <TitlesOfParts>
    <vt:vector size="1" baseType="lpstr">
      <vt:lpstr/>
    </vt:vector>
  </TitlesOfParts>
  <Manager/>
  <Company/>
  <LinksUpToDate>false</LinksUpToDate>
  <CharactersWithSpaces>3895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量化咨询客户关系管理系统</dc:title>
  <dc:creator/>
  <cp:keywords/>
  <dcterms:created xsi:type="dcterms:W3CDTF">2025-10-27T03:29:23Z</dcterms:created>
  <dcterms:modified xsi:type="dcterms:W3CDTF">2025-10-27T03:29:23Z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ubtitle">
    <vt:lpwstr>操作手册</vt:lpwstr>
  </property>
</Properties>
</file>